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02EF" w14:textId="07FBD28C" w:rsidR="00AA1BFA" w:rsidRDefault="00AA1BFA"/>
    <w:p w14:paraId="62C8FEED" w14:textId="53E8C188" w:rsidR="00AA1BFA" w:rsidRDefault="00AA1BFA"/>
    <w:p w14:paraId="47F65738" w14:textId="77777777" w:rsidR="00AA1BFA" w:rsidRDefault="00AA1BFA" w:rsidP="00AA1BFA">
      <w:pPr>
        <w:pStyle w:val="Encabezado"/>
        <w:jc w:val="center"/>
        <w:rPr>
          <w:rFonts w:ascii="Calibri" w:hAnsi="Calibri" w:cs="Calibri"/>
          <w:b/>
          <w:bCs/>
          <w:color w:val="002D86"/>
          <w:sz w:val="32"/>
          <w:szCs w:val="32"/>
        </w:rPr>
      </w:pPr>
      <w:r>
        <w:rPr>
          <w:noProof/>
        </w:rPr>
        <w:drawing>
          <wp:inline distT="0" distB="0" distL="0" distR="0" wp14:anchorId="11BC3A45" wp14:editId="7D141ABE">
            <wp:extent cx="1419225" cy="942975"/>
            <wp:effectExtent l="0" t="0" r="9525" b="9525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3" b="14049"/>
                    <a:stretch/>
                  </pic:blipFill>
                  <pic:spPr bwMode="auto">
                    <a:xfrm>
                      <a:off x="0" y="0"/>
                      <a:ext cx="1419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A1BFA">
        <w:rPr>
          <w:rFonts w:ascii="Calibri" w:hAnsi="Calibri" w:cs="Calibri"/>
          <w:b/>
          <w:bCs/>
          <w:color w:val="002D86"/>
          <w:sz w:val="32"/>
          <w:szCs w:val="32"/>
        </w:rPr>
        <w:t xml:space="preserve"> </w:t>
      </w:r>
    </w:p>
    <w:p w14:paraId="71942C1A" w14:textId="4719E86C" w:rsidR="00AA1BFA" w:rsidRPr="007C4D7C" w:rsidRDefault="00AA1BFA" w:rsidP="00AA1BFA">
      <w:pPr>
        <w:pStyle w:val="Encabezado"/>
        <w:jc w:val="center"/>
        <w:rPr>
          <w:rFonts w:ascii="Calibri" w:hAnsi="Calibri" w:cs="Calibri"/>
          <w:b/>
          <w:bCs/>
          <w:color w:val="002D86"/>
          <w:sz w:val="32"/>
          <w:szCs w:val="32"/>
        </w:rPr>
      </w:pPr>
      <w:r w:rsidRPr="007C4D7C">
        <w:rPr>
          <w:rFonts w:ascii="Calibri" w:hAnsi="Calibri" w:cs="Calibri"/>
          <w:b/>
          <w:bCs/>
          <w:color w:val="002D86"/>
          <w:sz w:val="32"/>
          <w:szCs w:val="32"/>
        </w:rPr>
        <w:t>Consejo de Coordinación Zona Especial Desarrollo Fronterizo (CCDF)</w:t>
      </w:r>
    </w:p>
    <w:p w14:paraId="5C6CD056" w14:textId="6EEE4980" w:rsidR="00AA1BFA" w:rsidRPr="007C4D7C" w:rsidRDefault="00AA1BFA" w:rsidP="00AA1BFA">
      <w:pPr>
        <w:pStyle w:val="Encabezado"/>
        <w:jc w:val="center"/>
        <w:rPr>
          <w:rFonts w:ascii="Arial" w:hAnsi="Arial" w:cs="Arial"/>
          <w:b/>
          <w:color w:val="002D86"/>
          <w:sz w:val="24"/>
          <w:szCs w:val="24"/>
        </w:rPr>
      </w:pPr>
    </w:p>
    <w:p w14:paraId="23556CC7" w14:textId="507CCCF8" w:rsidR="00AA1BFA" w:rsidRDefault="00AA1BFA" w:rsidP="00AA1BFA">
      <w:pPr>
        <w:jc w:val="center"/>
      </w:pPr>
    </w:p>
    <w:p w14:paraId="0E702078" w14:textId="3001D2A4" w:rsidR="00AA1BFA" w:rsidRDefault="00AA1BFA" w:rsidP="00AA1BFA">
      <w:pPr>
        <w:jc w:val="center"/>
      </w:pPr>
    </w:p>
    <w:p w14:paraId="50FAB6AB" w14:textId="3D3E96D6" w:rsidR="000169BD" w:rsidRDefault="000169BD" w:rsidP="00AA1BFA">
      <w:pPr>
        <w:jc w:val="center"/>
      </w:pPr>
    </w:p>
    <w:p w14:paraId="252D6BFB" w14:textId="77777777" w:rsidR="000169BD" w:rsidRDefault="000169BD" w:rsidP="00AA1BFA">
      <w:pPr>
        <w:jc w:val="center"/>
      </w:pPr>
    </w:p>
    <w:p w14:paraId="0447CFA4" w14:textId="51F57E8C" w:rsidR="00AA1BFA" w:rsidRDefault="00AA1BFA" w:rsidP="00AA1BFA">
      <w:pPr>
        <w:jc w:val="center"/>
      </w:pPr>
    </w:p>
    <w:p w14:paraId="5204B4FF" w14:textId="437ED2F2" w:rsidR="00AA1BFA" w:rsidRPr="000169BD" w:rsidRDefault="00AA1BFA" w:rsidP="00AA1BFA">
      <w:pPr>
        <w:jc w:val="center"/>
        <w:rPr>
          <w:rFonts w:ascii="Palatino Linotype" w:hAnsi="Palatino Linotype"/>
          <w:b/>
          <w:bCs/>
          <w:sz w:val="36"/>
          <w:szCs w:val="36"/>
        </w:rPr>
      </w:pPr>
      <w:r w:rsidRPr="000169BD">
        <w:rPr>
          <w:rFonts w:ascii="Palatino Linotype" w:hAnsi="Palatino Linotype"/>
          <w:b/>
          <w:bCs/>
          <w:sz w:val="36"/>
          <w:szCs w:val="36"/>
        </w:rPr>
        <w:t>INFORME DE EVALUACION Y SEGUIMIENTO AL PLAN OPERATIVO 202</w:t>
      </w:r>
      <w:r w:rsidR="006269DD">
        <w:rPr>
          <w:rFonts w:ascii="Palatino Linotype" w:hAnsi="Palatino Linotype"/>
          <w:b/>
          <w:bCs/>
          <w:sz w:val="36"/>
          <w:szCs w:val="36"/>
        </w:rPr>
        <w:t>2</w:t>
      </w:r>
    </w:p>
    <w:p w14:paraId="6AEFC077" w14:textId="6B5EFAA1" w:rsidR="00AA1BFA" w:rsidRPr="000169BD" w:rsidRDefault="00AA1BFA" w:rsidP="00AA1BFA">
      <w:pPr>
        <w:jc w:val="center"/>
        <w:rPr>
          <w:rFonts w:ascii="Palatino Linotype" w:hAnsi="Palatino Linotype"/>
          <w:sz w:val="28"/>
          <w:szCs w:val="28"/>
        </w:rPr>
      </w:pPr>
    </w:p>
    <w:p w14:paraId="35C1EDAC" w14:textId="35760D7A" w:rsidR="004514A4" w:rsidRPr="000169BD" w:rsidRDefault="004514A4" w:rsidP="00AA1BFA">
      <w:pPr>
        <w:jc w:val="center"/>
        <w:rPr>
          <w:rFonts w:ascii="Palatino Linotype" w:hAnsi="Palatino Linotype"/>
          <w:sz w:val="32"/>
          <w:szCs w:val="32"/>
        </w:rPr>
      </w:pPr>
      <w:r w:rsidRPr="000169BD">
        <w:rPr>
          <w:rFonts w:ascii="Palatino Linotype" w:hAnsi="Palatino Linotype"/>
          <w:sz w:val="32"/>
          <w:szCs w:val="32"/>
        </w:rPr>
        <w:t>Período:</w:t>
      </w:r>
    </w:p>
    <w:p w14:paraId="0CEFC37C" w14:textId="5303C356" w:rsidR="004514A4" w:rsidRPr="000169BD" w:rsidRDefault="00F81269" w:rsidP="00AA1BFA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Abril-</w:t>
      </w:r>
      <w:proofErr w:type="gramStart"/>
      <w:r>
        <w:rPr>
          <w:rFonts w:ascii="Palatino Linotype" w:hAnsi="Palatino Linotype"/>
          <w:sz w:val="32"/>
          <w:szCs w:val="32"/>
        </w:rPr>
        <w:t>Junio</w:t>
      </w:r>
      <w:proofErr w:type="gramEnd"/>
      <w:r w:rsidR="004514A4" w:rsidRPr="000169BD">
        <w:rPr>
          <w:rFonts w:ascii="Palatino Linotype" w:hAnsi="Palatino Linotype"/>
          <w:sz w:val="32"/>
          <w:szCs w:val="32"/>
        </w:rPr>
        <w:t xml:space="preserve"> 202</w:t>
      </w:r>
      <w:r w:rsidR="006269DD">
        <w:rPr>
          <w:rFonts w:ascii="Palatino Linotype" w:hAnsi="Palatino Linotype"/>
          <w:sz w:val="32"/>
          <w:szCs w:val="32"/>
        </w:rPr>
        <w:t>2</w:t>
      </w:r>
    </w:p>
    <w:p w14:paraId="534B5833" w14:textId="77777777" w:rsidR="004514A4" w:rsidRPr="000169BD" w:rsidRDefault="004514A4" w:rsidP="00AA1BFA">
      <w:pPr>
        <w:jc w:val="center"/>
        <w:rPr>
          <w:rFonts w:ascii="Palatino Linotype" w:hAnsi="Palatino Linotype"/>
          <w:sz w:val="28"/>
          <w:szCs w:val="28"/>
        </w:rPr>
      </w:pPr>
    </w:p>
    <w:p w14:paraId="33FD786D" w14:textId="77777777" w:rsidR="000169BD" w:rsidRDefault="000169BD" w:rsidP="00AA1BFA">
      <w:pPr>
        <w:jc w:val="center"/>
        <w:rPr>
          <w:rFonts w:ascii="Palatino Linotype" w:hAnsi="Palatino Linotype"/>
          <w:sz w:val="28"/>
          <w:szCs w:val="28"/>
        </w:rPr>
      </w:pPr>
    </w:p>
    <w:p w14:paraId="45A0419C" w14:textId="77777777" w:rsidR="000169BD" w:rsidRDefault="000169BD" w:rsidP="00AA1BFA">
      <w:pPr>
        <w:jc w:val="center"/>
        <w:rPr>
          <w:rFonts w:ascii="Palatino Linotype" w:hAnsi="Palatino Linotype"/>
          <w:sz w:val="28"/>
          <w:szCs w:val="28"/>
        </w:rPr>
      </w:pPr>
    </w:p>
    <w:p w14:paraId="3FE11597" w14:textId="1E01C99D" w:rsidR="00AA1BFA" w:rsidRPr="000169BD" w:rsidRDefault="00AA1BFA" w:rsidP="00AA1BFA">
      <w:pPr>
        <w:jc w:val="center"/>
        <w:rPr>
          <w:rFonts w:ascii="Palatino Linotype" w:hAnsi="Palatino Linotype"/>
          <w:sz w:val="28"/>
          <w:szCs w:val="28"/>
        </w:rPr>
      </w:pPr>
      <w:r w:rsidRPr="000169BD">
        <w:rPr>
          <w:rFonts w:ascii="Palatino Linotype" w:hAnsi="Palatino Linotype"/>
          <w:sz w:val="28"/>
          <w:szCs w:val="28"/>
        </w:rPr>
        <w:t>División de Planificación y Desarrollo</w:t>
      </w:r>
    </w:p>
    <w:p w14:paraId="3C6D2209" w14:textId="134B253C" w:rsidR="00AA1BFA" w:rsidRPr="000169BD" w:rsidRDefault="00AA1BFA" w:rsidP="00AA1BFA">
      <w:pPr>
        <w:jc w:val="center"/>
        <w:rPr>
          <w:rFonts w:ascii="Palatino Linotype" w:hAnsi="Palatino Linotype"/>
          <w:sz w:val="28"/>
          <w:szCs w:val="28"/>
        </w:rPr>
      </w:pPr>
      <w:r w:rsidRPr="000169BD">
        <w:rPr>
          <w:rFonts w:ascii="Palatino Linotype" w:hAnsi="Palatino Linotype"/>
          <w:sz w:val="28"/>
          <w:szCs w:val="28"/>
        </w:rPr>
        <w:t>Santo Domingo Oeste, D.N.</w:t>
      </w:r>
    </w:p>
    <w:p w14:paraId="44E0262B" w14:textId="7FED708D" w:rsidR="00AA1BFA" w:rsidRPr="000169BD" w:rsidRDefault="00F81269" w:rsidP="00AA1BFA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Julio</w:t>
      </w:r>
      <w:r w:rsidR="00AA1BFA" w:rsidRPr="000169BD">
        <w:rPr>
          <w:rFonts w:ascii="Palatino Linotype" w:hAnsi="Palatino Linotype"/>
          <w:sz w:val="28"/>
          <w:szCs w:val="28"/>
        </w:rPr>
        <w:t xml:space="preserve"> 202</w:t>
      </w:r>
      <w:r w:rsidR="006269DD">
        <w:rPr>
          <w:rFonts w:ascii="Palatino Linotype" w:hAnsi="Palatino Linotype"/>
          <w:sz w:val="28"/>
          <w:szCs w:val="28"/>
        </w:rPr>
        <w:t>2</w:t>
      </w:r>
    </w:p>
    <w:p w14:paraId="661FD0D9" w14:textId="55C3A206" w:rsidR="00AA1BFA" w:rsidRDefault="00AA1BFA" w:rsidP="00201609">
      <w:pPr>
        <w:jc w:val="both"/>
        <w:rPr>
          <w:sz w:val="28"/>
          <w:szCs w:val="28"/>
        </w:rPr>
      </w:pPr>
    </w:p>
    <w:p w14:paraId="150E4C68" w14:textId="1BF4997A" w:rsidR="00AA1BFA" w:rsidRPr="00EE1E00" w:rsidRDefault="004417B3" w:rsidP="00EE1E0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lastRenderedPageBreak/>
        <w:t>INFORMACION GENERAL</w:t>
      </w:r>
    </w:p>
    <w:p w14:paraId="3F02B772" w14:textId="5C04E4B9" w:rsidR="005C19C2" w:rsidRDefault="004417B3" w:rsidP="00EE1E00">
      <w:pPr>
        <w:spacing w:line="240" w:lineRule="auto"/>
        <w:jc w:val="both"/>
        <w:rPr>
          <w:rFonts w:ascii="Palatino Linotype" w:hAnsi="Palatino Linotype"/>
          <w:sz w:val="28"/>
          <w:szCs w:val="28"/>
          <w:u w:val="single"/>
        </w:rPr>
      </w:pPr>
      <w:r>
        <w:rPr>
          <w:rFonts w:ascii="Palatino Linotype" w:hAnsi="Palatino Linotype"/>
          <w:sz w:val="28"/>
          <w:szCs w:val="28"/>
          <w:u w:val="single"/>
        </w:rPr>
        <w:t>Marco Legal</w:t>
      </w:r>
    </w:p>
    <w:p w14:paraId="4B98D7D0" w14:textId="67FAE44B" w:rsidR="00AD1455" w:rsidRDefault="00F93EAA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El Consejo de Coordinación de la Zona Especial de Desarrollo Fronterizo (CCDF) </w:t>
      </w:r>
      <w:r w:rsidR="00A90744">
        <w:rPr>
          <w:rFonts w:ascii="Palatino Linotype" w:hAnsi="Palatino Linotype"/>
          <w:sz w:val="28"/>
          <w:szCs w:val="28"/>
        </w:rPr>
        <w:t>es una institución descentralizada regida</w:t>
      </w:r>
      <w:r w:rsidR="0078749F">
        <w:rPr>
          <w:rFonts w:ascii="Palatino Linotype" w:hAnsi="Palatino Linotype"/>
          <w:sz w:val="28"/>
          <w:szCs w:val="28"/>
        </w:rPr>
        <w:t xml:space="preserve"> por la Ley 12-21 que crea la Zona Especial de Desarrollo Fronterizo</w:t>
      </w:r>
      <w:r w:rsidR="00753144">
        <w:rPr>
          <w:rFonts w:ascii="Palatino Linotype" w:hAnsi="Palatino Linotype"/>
          <w:sz w:val="28"/>
          <w:szCs w:val="28"/>
        </w:rPr>
        <w:t xml:space="preserve"> y un régimen de incentivos</w:t>
      </w:r>
      <w:r w:rsidR="0078749F">
        <w:rPr>
          <w:rFonts w:ascii="Palatino Linotype" w:hAnsi="Palatino Linotype"/>
          <w:sz w:val="28"/>
          <w:szCs w:val="28"/>
        </w:rPr>
        <w:t xml:space="preserve"> </w:t>
      </w:r>
      <w:r w:rsidR="00A90744">
        <w:rPr>
          <w:rFonts w:ascii="Palatino Linotype" w:hAnsi="Palatino Linotype"/>
          <w:sz w:val="28"/>
          <w:szCs w:val="28"/>
        </w:rPr>
        <w:t xml:space="preserve">otorgados a empresas </w:t>
      </w:r>
      <w:r w:rsidR="00753144">
        <w:rPr>
          <w:rFonts w:ascii="Palatino Linotype" w:hAnsi="Palatino Linotype"/>
          <w:sz w:val="28"/>
          <w:szCs w:val="28"/>
        </w:rPr>
        <w:t>que</w:t>
      </w:r>
      <w:r w:rsidR="00A90744">
        <w:rPr>
          <w:rFonts w:ascii="Palatino Linotype" w:hAnsi="Palatino Linotype"/>
          <w:sz w:val="28"/>
          <w:szCs w:val="28"/>
        </w:rPr>
        <w:t xml:space="preserve"> se instalen en la</w:t>
      </w:r>
      <w:r w:rsidR="0078749F">
        <w:rPr>
          <w:rFonts w:ascii="Palatino Linotype" w:hAnsi="Palatino Linotype"/>
          <w:sz w:val="28"/>
          <w:szCs w:val="28"/>
        </w:rPr>
        <w:t>s provincias de Pedernales, Independencia, Elías Piña, Dajabón, Montecristi, Santiago Rodríguez y Bahoruco con una vigencia de treinta (30) años</w:t>
      </w:r>
      <w:r w:rsidR="00D608D7">
        <w:rPr>
          <w:rFonts w:ascii="Palatino Linotype" w:hAnsi="Palatino Linotype"/>
          <w:sz w:val="28"/>
          <w:szCs w:val="28"/>
        </w:rPr>
        <w:t>; en virtud de lo establecido en</w:t>
      </w:r>
      <w:r w:rsidR="00D6268D">
        <w:rPr>
          <w:rFonts w:ascii="Palatino Linotype" w:hAnsi="Palatino Linotype"/>
          <w:sz w:val="28"/>
          <w:szCs w:val="28"/>
        </w:rPr>
        <w:t xml:space="preserve"> </w:t>
      </w:r>
      <w:r w:rsidR="00D608D7">
        <w:rPr>
          <w:rFonts w:ascii="Palatino Linotype" w:hAnsi="Palatino Linotype"/>
          <w:sz w:val="28"/>
          <w:szCs w:val="28"/>
        </w:rPr>
        <w:t xml:space="preserve">la </w:t>
      </w:r>
      <w:r w:rsidR="00D6268D">
        <w:rPr>
          <w:rFonts w:ascii="Palatino Linotype" w:hAnsi="Palatino Linotype"/>
          <w:sz w:val="28"/>
          <w:szCs w:val="28"/>
        </w:rPr>
        <w:t>constitución</w:t>
      </w:r>
      <w:r w:rsidR="00D608D7">
        <w:rPr>
          <w:rFonts w:ascii="Palatino Linotype" w:hAnsi="Palatino Linotype"/>
          <w:sz w:val="28"/>
          <w:szCs w:val="28"/>
        </w:rPr>
        <w:t xml:space="preserve"> de la Rep</w:t>
      </w:r>
      <w:r w:rsidR="00D6268D">
        <w:rPr>
          <w:rFonts w:ascii="Palatino Linotype" w:hAnsi="Palatino Linotype"/>
          <w:sz w:val="28"/>
          <w:szCs w:val="28"/>
        </w:rPr>
        <w:t>ú</w:t>
      </w:r>
      <w:r w:rsidR="00D608D7">
        <w:rPr>
          <w:rFonts w:ascii="Palatino Linotype" w:hAnsi="Palatino Linotype"/>
          <w:sz w:val="28"/>
          <w:szCs w:val="28"/>
        </w:rPr>
        <w:t xml:space="preserve">blica </w:t>
      </w:r>
      <w:r w:rsidR="00A90744">
        <w:rPr>
          <w:rFonts w:ascii="Palatino Linotype" w:hAnsi="Palatino Linotype"/>
          <w:sz w:val="28"/>
          <w:szCs w:val="28"/>
        </w:rPr>
        <w:t>Dominicana del año 2010</w:t>
      </w:r>
      <w:r w:rsidR="00D6268D">
        <w:rPr>
          <w:rFonts w:ascii="Palatino Linotype" w:hAnsi="Palatino Linotype"/>
          <w:sz w:val="28"/>
          <w:szCs w:val="28"/>
        </w:rPr>
        <w:t>,</w:t>
      </w:r>
      <w:r w:rsidR="00A90744">
        <w:rPr>
          <w:rFonts w:ascii="Palatino Linotype" w:hAnsi="Palatino Linotype"/>
          <w:sz w:val="28"/>
          <w:szCs w:val="28"/>
        </w:rPr>
        <w:t xml:space="preserve"> que declara de supremo y de permanente interés nacional la segur</w:t>
      </w:r>
      <w:r w:rsidR="00D6268D">
        <w:rPr>
          <w:rFonts w:ascii="Palatino Linotype" w:hAnsi="Palatino Linotype"/>
          <w:sz w:val="28"/>
          <w:szCs w:val="28"/>
        </w:rPr>
        <w:t>i</w:t>
      </w:r>
      <w:r w:rsidR="00A90744">
        <w:rPr>
          <w:rFonts w:ascii="Palatino Linotype" w:hAnsi="Palatino Linotype"/>
          <w:sz w:val="28"/>
          <w:szCs w:val="28"/>
        </w:rPr>
        <w:t>dad, el desarrollo económico, social y turístico de todo el territorio que integra la zona fronteriza.</w:t>
      </w:r>
    </w:p>
    <w:p w14:paraId="222361FE" w14:textId="1F4B2D10" w:rsidR="00F354F6" w:rsidRPr="00F354F6" w:rsidRDefault="00D01B89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</w:t>
      </w:r>
      <w:r w:rsidR="00D6268D">
        <w:rPr>
          <w:rFonts w:ascii="Palatino Linotype" w:hAnsi="Palatino Linotype"/>
          <w:sz w:val="28"/>
          <w:szCs w:val="28"/>
        </w:rPr>
        <w:t>l otorgamiento de los incentivos fiscales</w:t>
      </w:r>
      <w:r>
        <w:rPr>
          <w:rFonts w:ascii="Palatino Linotype" w:hAnsi="Palatino Linotype"/>
          <w:sz w:val="28"/>
          <w:szCs w:val="28"/>
        </w:rPr>
        <w:t xml:space="preserve"> establecidos en la Ley 12-21</w:t>
      </w:r>
      <w:r w:rsidR="00D6268D">
        <w:rPr>
          <w:rFonts w:ascii="Palatino Linotype" w:hAnsi="Palatino Linotype"/>
          <w:sz w:val="28"/>
          <w:szCs w:val="28"/>
        </w:rPr>
        <w:t xml:space="preserve"> son regulados por los mec</w:t>
      </w:r>
      <w:r>
        <w:rPr>
          <w:rFonts w:ascii="Palatino Linotype" w:hAnsi="Palatino Linotype"/>
          <w:sz w:val="28"/>
          <w:szCs w:val="28"/>
        </w:rPr>
        <w:t>a</w:t>
      </w:r>
      <w:r w:rsidR="00D6268D">
        <w:rPr>
          <w:rFonts w:ascii="Palatino Linotype" w:hAnsi="Palatino Linotype"/>
          <w:sz w:val="28"/>
          <w:szCs w:val="28"/>
        </w:rPr>
        <w:t>nismos administrativos estipulados en el Decreto 766-21 que conti</w:t>
      </w:r>
      <w:r>
        <w:rPr>
          <w:rFonts w:ascii="Palatino Linotype" w:hAnsi="Palatino Linotype"/>
          <w:sz w:val="28"/>
          <w:szCs w:val="28"/>
        </w:rPr>
        <w:t>e</w:t>
      </w:r>
      <w:r w:rsidR="00D6268D">
        <w:rPr>
          <w:rFonts w:ascii="Palatino Linotype" w:hAnsi="Palatino Linotype"/>
          <w:sz w:val="28"/>
          <w:szCs w:val="28"/>
        </w:rPr>
        <w:t xml:space="preserve">ne el Reglamento de Aplicación de la </w:t>
      </w:r>
      <w:r>
        <w:rPr>
          <w:rFonts w:ascii="Palatino Linotype" w:hAnsi="Palatino Linotype"/>
          <w:sz w:val="28"/>
          <w:szCs w:val="28"/>
        </w:rPr>
        <w:t>referida Ley</w:t>
      </w:r>
      <w:r w:rsidR="00F468CC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con el fin de dar continuidad a medidas y políticas públicas que estimulen la realización de proyectos empresariales y de desarrollo en la Zona Fronteriza.</w:t>
      </w:r>
    </w:p>
    <w:p w14:paraId="180BBE98" w14:textId="77777777" w:rsidR="00D01B89" w:rsidRDefault="00D01B89" w:rsidP="00EE1E00">
      <w:pPr>
        <w:spacing w:line="240" w:lineRule="auto"/>
        <w:jc w:val="both"/>
        <w:rPr>
          <w:rFonts w:ascii="Palatino Linotype" w:hAnsi="Palatino Linotype"/>
          <w:sz w:val="28"/>
          <w:szCs w:val="28"/>
          <w:u w:val="single"/>
        </w:rPr>
      </w:pPr>
    </w:p>
    <w:p w14:paraId="12F13055" w14:textId="50A9AAD6" w:rsidR="00201609" w:rsidRPr="00EE1E00" w:rsidRDefault="00201609" w:rsidP="00EE1E00">
      <w:pPr>
        <w:spacing w:line="240" w:lineRule="auto"/>
        <w:jc w:val="both"/>
        <w:rPr>
          <w:rFonts w:ascii="Palatino Linotype" w:hAnsi="Palatino Linotype"/>
          <w:sz w:val="28"/>
          <w:szCs w:val="28"/>
          <w:u w:val="single"/>
        </w:rPr>
      </w:pPr>
      <w:r w:rsidRPr="00EE1E00">
        <w:rPr>
          <w:rFonts w:ascii="Palatino Linotype" w:hAnsi="Palatino Linotype"/>
          <w:sz w:val="28"/>
          <w:szCs w:val="28"/>
          <w:u w:val="single"/>
        </w:rPr>
        <w:t>Misión</w:t>
      </w:r>
    </w:p>
    <w:p w14:paraId="6C91D86A" w14:textId="77777777" w:rsidR="00201609" w:rsidRPr="00EE1E00" w:rsidRDefault="00201609" w:rsidP="00EE1E00">
      <w:pPr>
        <w:spacing w:after="0" w:line="240" w:lineRule="auto"/>
        <w:jc w:val="both"/>
        <w:rPr>
          <w:rFonts w:ascii="Palatino Linotype" w:hAnsi="Palatino Linotype" w:cs="Segoe UI"/>
          <w:b/>
          <w:bCs/>
          <w:sz w:val="28"/>
          <w:szCs w:val="28"/>
        </w:rPr>
      </w:pPr>
      <w:r w:rsidRPr="00EE1E00">
        <w:rPr>
          <w:rFonts w:ascii="Palatino Linotype" w:hAnsi="Palatino Linotype" w:cs="Arial"/>
          <w:sz w:val="28"/>
          <w:szCs w:val="28"/>
          <w:shd w:val="clear" w:color="auto" w:fill="FFFFFF"/>
        </w:rPr>
        <w:t>Apoyar la instalación de las empresas industriales, agroindustriales y de cualquier otra naturaleza, que aumenten el empleo y reduzcan la pobreza, mediante el otorgamiento de incentivos fiscales en la Zona Especial de Desarrollo Fronterizo.  </w:t>
      </w:r>
    </w:p>
    <w:p w14:paraId="21B794FF" w14:textId="2F33E01C" w:rsidR="00201609" w:rsidRPr="00EE1E00" w:rsidRDefault="00201609" w:rsidP="00EE1E00">
      <w:pPr>
        <w:spacing w:line="240" w:lineRule="auto"/>
        <w:jc w:val="both"/>
        <w:rPr>
          <w:rFonts w:ascii="Palatino Linotype" w:hAnsi="Palatino Linotype"/>
          <w:sz w:val="28"/>
          <w:szCs w:val="28"/>
          <w:u w:val="single"/>
        </w:rPr>
      </w:pPr>
    </w:p>
    <w:p w14:paraId="74296D5B" w14:textId="73E5F6A2" w:rsidR="00201609" w:rsidRPr="00EE1E00" w:rsidRDefault="00201609" w:rsidP="00EE1E00">
      <w:pPr>
        <w:spacing w:line="240" w:lineRule="auto"/>
        <w:jc w:val="both"/>
        <w:rPr>
          <w:rFonts w:ascii="Palatino Linotype" w:hAnsi="Palatino Linotype"/>
          <w:sz w:val="28"/>
          <w:szCs w:val="28"/>
          <w:u w:val="single"/>
        </w:rPr>
      </w:pPr>
      <w:r w:rsidRPr="00EE1E00">
        <w:rPr>
          <w:rFonts w:ascii="Palatino Linotype" w:hAnsi="Palatino Linotype"/>
          <w:sz w:val="28"/>
          <w:szCs w:val="28"/>
          <w:u w:val="single"/>
        </w:rPr>
        <w:t>Visión</w:t>
      </w:r>
    </w:p>
    <w:p w14:paraId="26A11FD8" w14:textId="77777777" w:rsidR="00201609" w:rsidRPr="00EE1E00" w:rsidRDefault="00201609" w:rsidP="00EE1E00">
      <w:pPr>
        <w:spacing w:after="0" w:line="240" w:lineRule="auto"/>
        <w:jc w:val="both"/>
        <w:rPr>
          <w:rFonts w:ascii="Palatino Linotype" w:hAnsi="Palatino Linotype" w:cs="Segoe UI"/>
          <w:b/>
          <w:bCs/>
          <w:sz w:val="28"/>
          <w:szCs w:val="28"/>
        </w:rPr>
      </w:pPr>
      <w:r w:rsidRPr="00EE1E00">
        <w:rPr>
          <w:rFonts w:ascii="Palatino Linotype" w:hAnsi="Palatino Linotype" w:cs="Arial"/>
          <w:sz w:val="28"/>
          <w:szCs w:val="28"/>
          <w:shd w:val="clear" w:color="auto" w:fill="FFFFFF"/>
        </w:rPr>
        <w:t>Ser la institución líder en la promoción de generación de empleo en la Zona Especial de Desarrollo Fronterizo.</w:t>
      </w:r>
    </w:p>
    <w:p w14:paraId="5833A594" w14:textId="37F38E0D" w:rsidR="00201609" w:rsidRPr="00EE1E00" w:rsidRDefault="00201609" w:rsidP="00EE1E00">
      <w:pPr>
        <w:spacing w:line="240" w:lineRule="auto"/>
        <w:jc w:val="both"/>
        <w:rPr>
          <w:rFonts w:ascii="Palatino Linotype" w:hAnsi="Palatino Linotype"/>
          <w:sz w:val="28"/>
          <w:szCs w:val="28"/>
          <w:u w:val="single"/>
        </w:rPr>
      </w:pPr>
    </w:p>
    <w:p w14:paraId="09C1BD0C" w14:textId="77777777" w:rsidR="00D01B89" w:rsidRDefault="00D01B89" w:rsidP="00EE1E00">
      <w:pPr>
        <w:spacing w:line="240" w:lineRule="auto"/>
        <w:jc w:val="both"/>
        <w:rPr>
          <w:rFonts w:ascii="Palatino Linotype" w:hAnsi="Palatino Linotype"/>
          <w:sz w:val="28"/>
          <w:szCs w:val="28"/>
          <w:u w:val="single"/>
        </w:rPr>
      </w:pPr>
    </w:p>
    <w:p w14:paraId="159D4D82" w14:textId="159B8172" w:rsidR="00201609" w:rsidRPr="00EE1E00" w:rsidRDefault="00201609" w:rsidP="00EE1E00">
      <w:pPr>
        <w:spacing w:line="240" w:lineRule="auto"/>
        <w:jc w:val="both"/>
        <w:rPr>
          <w:rFonts w:ascii="Palatino Linotype" w:hAnsi="Palatino Linotype"/>
          <w:sz w:val="28"/>
          <w:szCs w:val="28"/>
          <w:u w:val="single"/>
        </w:rPr>
      </w:pPr>
      <w:r w:rsidRPr="00EE1E00">
        <w:rPr>
          <w:rFonts w:ascii="Palatino Linotype" w:hAnsi="Palatino Linotype"/>
          <w:sz w:val="28"/>
          <w:szCs w:val="28"/>
          <w:u w:val="single"/>
        </w:rPr>
        <w:lastRenderedPageBreak/>
        <w:t>Valores</w:t>
      </w:r>
    </w:p>
    <w:p w14:paraId="343ED6C6" w14:textId="77777777" w:rsidR="00132F77" w:rsidRDefault="00132F77" w:rsidP="00EE1E0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Palatino Linotype" w:hAnsi="Palatino Linotype" w:cs="Arial"/>
          <w:sz w:val="28"/>
          <w:szCs w:val="28"/>
          <w:shd w:val="clear" w:color="auto" w:fill="FFFFFF"/>
        </w:rPr>
        <w:sectPr w:rsidR="00132F77" w:rsidSect="00C878F8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2263B3B9" w14:textId="2027DC65" w:rsidR="00201609" w:rsidRPr="00EE1E00" w:rsidRDefault="00201609" w:rsidP="00EE1E0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Palatino Linotype" w:hAnsi="Palatino Linotype" w:cs="Arial"/>
          <w:sz w:val="28"/>
          <w:szCs w:val="28"/>
          <w:shd w:val="clear" w:color="auto" w:fill="FFFFFF"/>
        </w:rPr>
      </w:pPr>
      <w:r w:rsidRPr="00EE1E00">
        <w:rPr>
          <w:rFonts w:ascii="Palatino Linotype" w:hAnsi="Palatino Linotype" w:cs="Arial"/>
          <w:sz w:val="28"/>
          <w:szCs w:val="28"/>
          <w:shd w:val="clear" w:color="auto" w:fill="FFFFFF"/>
        </w:rPr>
        <w:t>Compromiso</w:t>
      </w:r>
    </w:p>
    <w:p w14:paraId="65F27BD9" w14:textId="033AD04E" w:rsidR="00201609" w:rsidRPr="00EE1E00" w:rsidRDefault="00201609" w:rsidP="00EE1E0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Palatino Linotype" w:hAnsi="Palatino Linotype" w:cs="Arial"/>
          <w:sz w:val="28"/>
          <w:szCs w:val="28"/>
          <w:shd w:val="clear" w:color="auto" w:fill="FFFFFF"/>
        </w:rPr>
      </w:pPr>
      <w:r w:rsidRPr="00EE1E00">
        <w:rPr>
          <w:rFonts w:ascii="Palatino Linotype" w:hAnsi="Palatino Linotype" w:cs="Arial"/>
          <w:sz w:val="28"/>
          <w:szCs w:val="28"/>
          <w:shd w:val="clear" w:color="auto" w:fill="FFFFFF"/>
        </w:rPr>
        <w:t>Eficiencia</w:t>
      </w:r>
    </w:p>
    <w:p w14:paraId="22862427" w14:textId="77777777" w:rsidR="00201609" w:rsidRPr="00EE1E00" w:rsidRDefault="00201609" w:rsidP="00EE1E0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Palatino Linotype" w:hAnsi="Palatino Linotype" w:cs="Arial"/>
          <w:sz w:val="28"/>
          <w:szCs w:val="28"/>
          <w:shd w:val="clear" w:color="auto" w:fill="FFFFFF"/>
        </w:rPr>
      </w:pPr>
      <w:r w:rsidRPr="00EE1E00">
        <w:rPr>
          <w:rFonts w:ascii="Palatino Linotype" w:hAnsi="Palatino Linotype" w:cs="Arial"/>
          <w:sz w:val="28"/>
          <w:szCs w:val="28"/>
          <w:shd w:val="clear" w:color="auto" w:fill="FFFFFF"/>
        </w:rPr>
        <w:t xml:space="preserve">Transparencia </w:t>
      </w:r>
    </w:p>
    <w:p w14:paraId="0F25AA5D" w14:textId="77777777" w:rsidR="00201609" w:rsidRPr="00EE1E00" w:rsidRDefault="00201609" w:rsidP="00EE1E0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Palatino Linotype" w:hAnsi="Palatino Linotype" w:cs="Arial"/>
          <w:sz w:val="28"/>
          <w:szCs w:val="28"/>
          <w:shd w:val="clear" w:color="auto" w:fill="FFFFFF"/>
        </w:rPr>
      </w:pPr>
      <w:r w:rsidRPr="00EE1E00">
        <w:rPr>
          <w:rFonts w:ascii="Palatino Linotype" w:hAnsi="Palatino Linotype" w:cs="Arial"/>
          <w:sz w:val="28"/>
          <w:szCs w:val="28"/>
          <w:shd w:val="clear" w:color="auto" w:fill="FFFFFF"/>
        </w:rPr>
        <w:t xml:space="preserve">Honestidad </w:t>
      </w:r>
    </w:p>
    <w:p w14:paraId="33055C1F" w14:textId="77777777" w:rsidR="00201609" w:rsidRPr="00EE1E00" w:rsidRDefault="00201609" w:rsidP="00EE1E0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Palatino Linotype" w:hAnsi="Palatino Linotype" w:cs="Arial"/>
          <w:sz w:val="28"/>
          <w:szCs w:val="28"/>
          <w:shd w:val="clear" w:color="auto" w:fill="FFFFFF"/>
        </w:rPr>
      </w:pPr>
      <w:r w:rsidRPr="00EE1E00">
        <w:rPr>
          <w:rFonts w:ascii="Palatino Linotype" w:hAnsi="Palatino Linotype" w:cs="Arial"/>
          <w:sz w:val="28"/>
          <w:szCs w:val="28"/>
          <w:shd w:val="clear" w:color="auto" w:fill="FFFFFF"/>
        </w:rPr>
        <w:t xml:space="preserve">Integridad </w:t>
      </w:r>
    </w:p>
    <w:p w14:paraId="6FABDCC9" w14:textId="77777777" w:rsidR="00201609" w:rsidRPr="00EE1E00" w:rsidRDefault="00201609" w:rsidP="00EE1E0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Palatino Linotype" w:hAnsi="Palatino Linotype" w:cs="Arial"/>
          <w:sz w:val="28"/>
          <w:szCs w:val="28"/>
          <w:shd w:val="clear" w:color="auto" w:fill="FFFFFF"/>
        </w:rPr>
      </w:pPr>
      <w:r w:rsidRPr="00EE1E00">
        <w:rPr>
          <w:rFonts w:ascii="Palatino Linotype" w:hAnsi="Palatino Linotype" w:cs="Arial"/>
          <w:sz w:val="28"/>
          <w:szCs w:val="28"/>
          <w:shd w:val="clear" w:color="auto" w:fill="FFFFFF"/>
        </w:rPr>
        <w:t xml:space="preserve">Equidad </w:t>
      </w:r>
    </w:p>
    <w:p w14:paraId="5B2D7F91" w14:textId="6E10D514" w:rsidR="00132F77" w:rsidRDefault="00201609" w:rsidP="00EE1E0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Palatino Linotype" w:hAnsi="Palatino Linotype" w:cs="Arial"/>
          <w:sz w:val="28"/>
          <w:szCs w:val="28"/>
          <w:shd w:val="clear" w:color="auto" w:fill="FFFFFF"/>
        </w:rPr>
        <w:sectPr w:rsidR="00132F77" w:rsidSect="00132F77">
          <w:type w:val="continuous"/>
          <w:pgSz w:w="12240" w:h="15840"/>
          <w:pgMar w:top="1417" w:right="1701" w:bottom="1417" w:left="1701" w:header="708" w:footer="708" w:gutter="0"/>
          <w:cols w:num="2" w:space="708"/>
          <w:titlePg/>
          <w:docGrid w:linePitch="360"/>
        </w:sectPr>
      </w:pPr>
      <w:r w:rsidRPr="00EE1E00">
        <w:rPr>
          <w:rFonts w:ascii="Palatino Linotype" w:hAnsi="Palatino Linotype" w:cs="Arial"/>
          <w:sz w:val="28"/>
          <w:szCs w:val="28"/>
          <w:shd w:val="clear" w:color="auto" w:fill="FFFFFF"/>
        </w:rPr>
        <w:t>Respet</w:t>
      </w:r>
      <w:r w:rsidR="00132F77">
        <w:rPr>
          <w:rFonts w:ascii="Palatino Linotype" w:hAnsi="Palatino Linotype" w:cs="Arial"/>
          <w:sz w:val="28"/>
          <w:szCs w:val="28"/>
          <w:shd w:val="clear" w:color="auto" w:fill="FFFFFF"/>
        </w:rPr>
        <w:t>o</w:t>
      </w:r>
    </w:p>
    <w:p w14:paraId="1D27EB91" w14:textId="12C9A3B1" w:rsidR="006E40F3" w:rsidRDefault="006E40F3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5C9989BA" w14:textId="094588E7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57B30B26" w14:textId="77777777" w:rsidR="00C33C5B" w:rsidRPr="00C33C5B" w:rsidRDefault="00C33C5B" w:rsidP="00C33C5B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4"/>
          <w:szCs w:val="24"/>
          <w:lang w:val="es-ES"/>
        </w:rPr>
      </w:pPr>
      <w:r w:rsidRPr="00C33C5B">
        <w:rPr>
          <w:rFonts w:ascii="Palatino Linotype" w:hAnsi="Palatino Linotype" w:cs="Arial"/>
          <w:b/>
          <w:bCs/>
          <w:sz w:val="24"/>
          <w:szCs w:val="24"/>
          <w:lang w:val="es-ES"/>
        </w:rPr>
        <w:t>Contribución a la Estrategia Nacional de Desarrollo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5103"/>
      </w:tblGrid>
      <w:tr w:rsidR="00C33C5B" w:rsidRPr="00C33C5B" w14:paraId="1E1A865B" w14:textId="77777777" w:rsidTr="006F53F0">
        <w:trPr>
          <w:trHeight w:val="555"/>
        </w:trPr>
        <w:tc>
          <w:tcPr>
            <w:tcW w:w="2552" w:type="dxa"/>
            <w:shd w:val="clear" w:color="auto" w:fill="DEEAF6" w:themeFill="accent5" w:themeFillTint="33"/>
            <w:noWrap/>
            <w:vAlign w:val="center"/>
            <w:hideMark/>
          </w:tcPr>
          <w:p w14:paraId="0ABFA745" w14:textId="77777777" w:rsidR="00C33C5B" w:rsidRPr="00502030" w:rsidRDefault="00C33C5B" w:rsidP="006F53F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02030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DO"/>
              </w:rPr>
              <w:t>Eje estratégico: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80BC35" w14:textId="77777777" w:rsidR="00C33C5B" w:rsidRPr="00502030" w:rsidRDefault="00C33C5B" w:rsidP="006F53F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DO"/>
              </w:rPr>
            </w:pPr>
            <w:r w:rsidRPr="0050203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6C13BA8" w14:textId="77777777" w:rsidR="00C33C5B" w:rsidRPr="00502030" w:rsidRDefault="00C33C5B" w:rsidP="006F53F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DO"/>
              </w:rPr>
            </w:pPr>
            <w:r w:rsidRPr="0050203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DO"/>
              </w:rPr>
              <w:t>DESARROLLO SOCIAL</w:t>
            </w:r>
          </w:p>
        </w:tc>
      </w:tr>
      <w:tr w:rsidR="00C33C5B" w:rsidRPr="00C33C5B" w14:paraId="1EF737CF" w14:textId="77777777" w:rsidTr="006F53F0">
        <w:trPr>
          <w:trHeight w:val="525"/>
        </w:trPr>
        <w:tc>
          <w:tcPr>
            <w:tcW w:w="2552" w:type="dxa"/>
            <w:shd w:val="clear" w:color="auto" w:fill="DEEAF6" w:themeFill="accent5" w:themeFillTint="33"/>
            <w:noWrap/>
            <w:vAlign w:val="center"/>
            <w:hideMark/>
          </w:tcPr>
          <w:p w14:paraId="7AA1213B" w14:textId="77777777" w:rsidR="00C33C5B" w:rsidRPr="00502030" w:rsidRDefault="00C33C5B" w:rsidP="006F53F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02030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DO"/>
              </w:rPr>
              <w:t>Objetivo general: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84BBEA" w14:textId="77777777" w:rsidR="00C33C5B" w:rsidRPr="00502030" w:rsidRDefault="00C33C5B" w:rsidP="006F53F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DO"/>
              </w:rPr>
            </w:pPr>
            <w:r w:rsidRPr="0050203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DO"/>
              </w:rPr>
              <w:t>2.4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929ADA5" w14:textId="77777777" w:rsidR="00C33C5B" w:rsidRPr="00502030" w:rsidRDefault="00C33C5B" w:rsidP="006F53F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DO"/>
              </w:rPr>
            </w:pPr>
            <w:r w:rsidRPr="0050203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DO"/>
              </w:rPr>
              <w:t>Cohesión territorial</w:t>
            </w:r>
          </w:p>
        </w:tc>
      </w:tr>
      <w:tr w:rsidR="00C33C5B" w:rsidRPr="00C33C5B" w14:paraId="63E5CC19" w14:textId="77777777" w:rsidTr="006F53F0">
        <w:trPr>
          <w:trHeight w:val="585"/>
        </w:trPr>
        <w:tc>
          <w:tcPr>
            <w:tcW w:w="2552" w:type="dxa"/>
            <w:shd w:val="clear" w:color="auto" w:fill="DEEAF6" w:themeFill="accent5" w:themeFillTint="33"/>
            <w:noWrap/>
            <w:vAlign w:val="center"/>
            <w:hideMark/>
          </w:tcPr>
          <w:p w14:paraId="0D24C1C4" w14:textId="77777777" w:rsidR="00C33C5B" w:rsidRPr="00502030" w:rsidRDefault="00C33C5B" w:rsidP="006F53F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02030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DO"/>
              </w:rPr>
              <w:t>Objetivo(s) específico(s):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2A2D35" w14:textId="77777777" w:rsidR="00C33C5B" w:rsidRPr="00502030" w:rsidRDefault="00C33C5B" w:rsidP="006F53F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DO"/>
              </w:rPr>
            </w:pPr>
            <w:r w:rsidRPr="0050203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DO"/>
              </w:rPr>
              <w:t>2.4.3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B151C27" w14:textId="77777777" w:rsidR="00C33C5B" w:rsidRPr="00502030" w:rsidRDefault="00C33C5B" w:rsidP="006F53F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DO"/>
              </w:rPr>
            </w:pPr>
            <w:r w:rsidRPr="0050203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DO"/>
              </w:rPr>
              <w:t>Promover el desarrollo sostenible de la zona fronteriza</w:t>
            </w:r>
          </w:p>
        </w:tc>
      </w:tr>
    </w:tbl>
    <w:p w14:paraId="4BA1C1B6" w14:textId="17913B03" w:rsidR="00C40B10" w:rsidRPr="00C33C5B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</w:rPr>
      </w:pPr>
    </w:p>
    <w:p w14:paraId="3991980A" w14:textId="21828915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27D1AF1D" w14:textId="3237C620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20B88441" w14:textId="61B68827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32923881" w14:textId="2E8E7BC4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2B2ECBF2" w14:textId="3D52D02A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2D08BF83" w14:textId="43A7DFC7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1A40B14F" w14:textId="3EDED946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06422767" w14:textId="32EE4D25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7B125D27" w14:textId="0A8CA3C6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5073871F" w14:textId="7B137FD5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361C0AD6" w14:textId="6CD88257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490D3233" w14:textId="1A4BAC44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641C6918" w14:textId="30F8A6FF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4E2B3FFB" w14:textId="6C4254A0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47B5732A" w14:textId="170FE19C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574EDEDC" w14:textId="07C878D0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30CF83B4" w14:textId="23FC5673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228D4D40" w14:textId="21D95111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2907B139" w14:textId="2726AC74" w:rsidR="00C40B10" w:rsidRDefault="00C40B10" w:rsidP="006E40F3">
      <w:pPr>
        <w:pStyle w:val="Prrafodelista"/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</w:p>
    <w:p w14:paraId="00782698" w14:textId="67D979F0" w:rsidR="00C517F3" w:rsidRPr="008E03E6" w:rsidRDefault="00EE1E00" w:rsidP="00EE1E00">
      <w:pPr>
        <w:pStyle w:val="Prrafodelista"/>
        <w:numPr>
          <w:ilvl w:val="0"/>
          <w:numId w:val="1"/>
        </w:numPr>
        <w:spacing w:before="192" w:line="240" w:lineRule="auto"/>
        <w:jc w:val="both"/>
        <w:rPr>
          <w:rFonts w:ascii="Palatino Linotype" w:hAnsi="Palatino Linotype" w:cs="Arial"/>
          <w:sz w:val="28"/>
          <w:szCs w:val="28"/>
          <w:u w:val="single"/>
          <w:lang w:val="es-ES"/>
        </w:rPr>
      </w:pPr>
      <w:r w:rsidRPr="008E03E6">
        <w:rPr>
          <w:rFonts w:ascii="Palatino Linotype" w:hAnsi="Palatino Linotype"/>
          <w:b/>
          <w:bCs/>
          <w:sz w:val="28"/>
          <w:szCs w:val="28"/>
          <w:u w:val="single"/>
        </w:rPr>
        <w:lastRenderedPageBreak/>
        <w:t>INTRODUCCION</w:t>
      </w:r>
    </w:p>
    <w:p w14:paraId="6607EB50" w14:textId="602B49C6" w:rsidR="006E40F3" w:rsidRDefault="006E40F3" w:rsidP="00EE1E00">
      <w:pPr>
        <w:spacing w:before="192" w:line="240" w:lineRule="auto"/>
        <w:jc w:val="both"/>
        <w:rPr>
          <w:rFonts w:ascii="Palatino Linotype" w:hAnsi="Palatino Linotype" w:cs="Arial"/>
          <w:sz w:val="28"/>
          <w:szCs w:val="28"/>
          <w:lang w:val="es-ES"/>
        </w:rPr>
      </w:pPr>
      <w:r w:rsidRPr="00EE1E00">
        <w:rPr>
          <w:rFonts w:ascii="Palatino Linotype" w:hAnsi="Palatino Linotype" w:cs="Arial"/>
          <w:sz w:val="28"/>
          <w:szCs w:val="28"/>
          <w:lang w:val="es-ES"/>
        </w:rPr>
        <w:t>El presente informe de</w:t>
      </w:r>
      <w:r>
        <w:rPr>
          <w:rFonts w:ascii="Palatino Linotype" w:hAnsi="Palatino Linotype" w:cs="Arial"/>
          <w:sz w:val="28"/>
          <w:szCs w:val="28"/>
          <w:lang w:val="es-ES"/>
        </w:rPr>
        <w:t xml:space="preserve"> ejecución y monitoreo del</w:t>
      </w:r>
      <w:r w:rsidRPr="00EE1E00">
        <w:rPr>
          <w:rFonts w:ascii="Palatino Linotype" w:hAnsi="Palatino Linotype" w:cs="Arial"/>
          <w:sz w:val="28"/>
          <w:szCs w:val="28"/>
          <w:lang w:val="es-ES"/>
        </w:rPr>
        <w:t xml:space="preserve"> </w:t>
      </w:r>
      <w:r>
        <w:rPr>
          <w:rFonts w:ascii="Palatino Linotype" w:hAnsi="Palatino Linotype" w:cs="Arial"/>
          <w:sz w:val="28"/>
          <w:szCs w:val="28"/>
          <w:lang w:val="es-ES"/>
        </w:rPr>
        <w:t>Plan Operativo del CCDF</w:t>
      </w:r>
      <w:r w:rsidRPr="00EE1E00">
        <w:rPr>
          <w:rFonts w:ascii="Palatino Linotype" w:hAnsi="Palatino Linotype" w:cs="Arial"/>
          <w:sz w:val="28"/>
          <w:szCs w:val="28"/>
          <w:lang w:val="es-ES"/>
        </w:rPr>
        <w:t>, como método del proceso de mejora continua de los procesos</w:t>
      </w:r>
      <w:r>
        <w:rPr>
          <w:rFonts w:ascii="Palatino Linotype" w:hAnsi="Palatino Linotype" w:cs="Arial"/>
          <w:sz w:val="28"/>
          <w:szCs w:val="28"/>
          <w:lang w:val="es-ES"/>
        </w:rPr>
        <w:t xml:space="preserve"> y servicios públicos</w:t>
      </w:r>
      <w:r w:rsidRPr="00EE1E00">
        <w:rPr>
          <w:rFonts w:ascii="Palatino Linotype" w:hAnsi="Palatino Linotype" w:cs="Arial"/>
          <w:sz w:val="28"/>
          <w:szCs w:val="28"/>
          <w:lang w:val="es-ES"/>
        </w:rPr>
        <w:t xml:space="preserve">, tiene por objeto medir el nivel de cumplimiento de las metas y productos logrados durante el </w:t>
      </w:r>
      <w:r w:rsidR="009C7B3D">
        <w:rPr>
          <w:rFonts w:ascii="Palatino Linotype" w:hAnsi="Palatino Linotype" w:cs="Arial"/>
          <w:sz w:val="28"/>
          <w:szCs w:val="28"/>
          <w:lang w:val="es-ES"/>
        </w:rPr>
        <w:t>segundo</w:t>
      </w:r>
      <w:r w:rsidRPr="00EE1E00">
        <w:rPr>
          <w:rFonts w:ascii="Palatino Linotype" w:hAnsi="Palatino Linotype" w:cs="Arial"/>
          <w:sz w:val="28"/>
          <w:szCs w:val="28"/>
          <w:lang w:val="es-ES"/>
        </w:rPr>
        <w:t xml:space="preserve"> </w:t>
      </w:r>
      <w:r>
        <w:rPr>
          <w:rFonts w:ascii="Palatino Linotype" w:hAnsi="Palatino Linotype" w:cs="Arial"/>
          <w:sz w:val="28"/>
          <w:szCs w:val="28"/>
          <w:lang w:val="es-ES"/>
        </w:rPr>
        <w:t>tri</w:t>
      </w:r>
      <w:r w:rsidRPr="00EE1E00">
        <w:rPr>
          <w:rFonts w:ascii="Palatino Linotype" w:hAnsi="Palatino Linotype" w:cs="Arial"/>
          <w:sz w:val="28"/>
          <w:szCs w:val="28"/>
          <w:lang w:val="es-ES"/>
        </w:rPr>
        <w:t>mestre del año 202</w:t>
      </w:r>
      <w:r>
        <w:rPr>
          <w:rFonts w:ascii="Palatino Linotype" w:hAnsi="Palatino Linotype" w:cs="Arial"/>
          <w:sz w:val="28"/>
          <w:szCs w:val="28"/>
          <w:lang w:val="es-ES"/>
        </w:rPr>
        <w:t>2.</w:t>
      </w:r>
    </w:p>
    <w:p w14:paraId="298D5FD5" w14:textId="561A7494" w:rsidR="00F13953" w:rsidRPr="00EE1E00" w:rsidRDefault="00716A1D" w:rsidP="00EE1E00">
      <w:pPr>
        <w:spacing w:after="0" w:line="240" w:lineRule="auto"/>
        <w:jc w:val="both"/>
        <w:rPr>
          <w:rFonts w:ascii="Palatino Linotype" w:hAnsi="Palatino Linotype" w:cs="Arial"/>
          <w:sz w:val="28"/>
          <w:szCs w:val="28"/>
          <w:lang w:val="es-ES"/>
        </w:rPr>
      </w:pPr>
      <w:r w:rsidRPr="00EE1E00">
        <w:rPr>
          <w:rFonts w:ascii="Palatino Linotype" w:hAnsi="Palatino Linotype"/>
          <w:sz w:val="28"/>
          <w:szCs w:val="28"/>
        </w:rPr>
        <w:t xml:space="preserve">El Consejo de Coordinación de Zona Especial de Desarrollo Fronterizo (CCDF), </w:t>
      </w:r>
      <w:r w:rsidR="00C05241" w:rsidRPr="00EE1E00">
        <w:rPr>
          <w:rFonts w:ascii="Palatino Linotype" w:hAnsi="Palatino Linotype"/>
          <w:sz w:val="28"/>
          <w:szCs w:val="28"/>
        </w:rPr>
        <w:t xml:space="preserve">ha elaborado un cronograma de actividades </w:t>
      </w:r>
      <w:r w:rsidR="00C05241">
        <w:rPr>
          <w:rFonts w:ascii="Palatino Linotype" w:hAnsi="Palatino Linotype"/>
          <w:sz w:val="28"/>
          <w:szCs w:val="28"/>
        </w:rPr>
        <w:t>en el Plan Operativo Anual 2022 en interés</w:t>
      </w:r>
      <w:r w:rsidRPr="00EE1E00">
        <w:rPr>
          <w:rFonts w:ascii="Palatino Linotype" w:hAnsi="Palatino Linotype"/>
          <w:sz w:val="28"/>
          <w:szCs w:val="28"/>
        </w:rPr>
        <w:t xml:space="preserve"> de fomentar el desarrollo de la Zona Fronteriza y gestionar la incorporación de bienestar </w:t>
      </w:r>
      <w:r w:rsidR="00132F77">
        <w:rPr>
          <w:rFonts w:ascii="Palatino Linotype" w:hAnsi="Palatino Linotype"/>
          <w:sz w:val="28"/>
          <w:szCs w:val="28"/>
        </w:rPr>
        <w:t xml:space="preserve">económico y social </w:t>
      </w:r>
      <w:r w:rsidRPr="00EE1E00">
        <w:rPr>
          <w:rFonts w:ascii="Palatino Linotype" w:hAnsi="Palatino Linotype"/>
          <w:sz w:val="28"/>
          <w:szCs w:val="28"/>
        </w:rPr>
        <w:t xml:space="preserve">en las provincias amparadas por la Ley </w:t>
      </w:r>
      <w:r w:rsidR="00C05241">
        <w:rPr>
          <w:rFonts w:ascii="Palatino Linotype" w:hAnsi="Palatino Linotype"/>
          <w:sz w:val="28"/>
          <w:szCs w:val="28"/>
        </w:rPr>
        <w:t>12-21</w:t>
      </w:r>
      <w:r w:rsidR="00132F77">
        <w:rPr>
          <w:rFonts w:ascii="Palatino Linotype" w:hAnsi="Palatino Linotype"/>
          <w:sz w:val="28"/>
          <w:szCs w:val="28"/>
        </w:rPr>
        <w:t xml:space="preserve"> (a</w:t>
      </w:r>
      <w:r w:rsidR="00C05241">
        <w:rPr>
          <w:rFonts w:ascii="Palatino Linotype" w:hAnsi="Palatino Linotype"/>
          <w:sz w:val="28"/>
          <w:szCs w:val="28"/>
        </w:rPr>
        <w:t>ntigua Ley 28-01</w:t>
      </w:r>
      <w:r w:rsidR="00132F77">
        <w:rPr>
          <w:rFonts w:ascii="Palatino Linotype" w:hAnsi="Palatino Linotype"/>
          <w:sz w:val="28"/>
          <w:szCs w:val="28"/>
        </w:rPr>
        <w:t>)</w:t>
      </w:r>
      <w:r w:rsidR="00EA005E" w:rsidRPr="00EE1E00">
        <w:rPr>
          <w:rFonts w:ascii="Palatino Linotype" w:hAnsi="Palatino Linotype" w:cs="Arial"/>
          <w:sz w:val="28"/>
          <w:szCs w:val="28"/>
          <w:lang w:val="es-ES"/>
        </w:rPr>
        <w:t>.</w:t>
      </w:r>
    </w:p>
    <w:p w14:paraId="7B9A8F80" w14:textId="3CFB9309" w:rsidR="00F72620" w:rsidRPr="00EE1E00" w:rsidRDefault="00F72620" w:rsidP="00EE1E00">
      <w:pPr>
        <w:spacing w:before="192" w:line="240" w:lineRule="auto"/>
        <w:jc w:val="both"/>
        <w:rPr>
          <w:rFonts w:ascii="Palatino Linotype" w:hAnsi="Palatino Linotype" w:cs="Arial"/>
          <w:sz w:val="28"/>
          <w:szCs w:val="28"/>
          <w:lang w:val="es-ES"/>
        </w:rPr>
      </w:pPr>
      <w:r w:rsidRPr="00EE1E00">
        <w:rPr>
          <w:rFonts w:ascii="Palatino Linotype" w:hAnsi="Palatino Linotype" w:cs="Arial"/>
          <w:sz w:val="28"/>
          <w:szCs w:val="28"/>
          <w:lang w:val="es-ES"/>
        </w:rPr>
        <w:t>E</w:t>
      </w:r>
      <w:r w:rsidR="00C517F3" w:rsidRPr="00EE1E00">
        <w:rPr>
          <w:rFonts w:ascii="Palatino Linotype" w:hAnsi="Palatino Linotype" w:cs="Arial"/>
          <w:sz w:val="28"/>
          <w:szCs w:val="28"/>
          <w:lang w:val="es-ES"/>
        </w:rPr>
        <w:t>ste</w:t>
      </w:r>
      <w:r w:rsidRPr="00EE1E00">
        <w:rPr>
          <w:rFonts w:ascii="Palatino Linotype" w:hAnsi="Palatino Linotype" w:cs="Arial"/>
          <w:sz w:val="28"/>
          <w:szCs w:val="28"/>
          <w:lang w:val="es-ES"/>
        </w:rPr>
        <w:t xml:space="preserve"> </w:t>
      </w:r>
      <w:r w:rsidR="00C323A3">
        <w:rPr>
          <w:rFonts w:ascii="Palatino Linotype" w:hAnsi="Palatino Linotype" w:cs="Arial"/>
          <w:sz w:val="28"/>
          <w:szCs w:val="28"/>
          <w:lang w:val="es-ES"/>
        </w:rPr>
        <w:t>informe</w:t>
      </w:r>
      <w:r w:rsidRPr="00EE1E00">
        <w:rPr>
          <w:rFonts w:ascii="Palatino Linotype" w:hAnsi="Palatino Linotype" w:cs="Arial"/>
          <w:sz w:val="28"/>
          <w:szCs w:val="28"/>
          <w:lang w:val="es-ES"/>
        </w:rPr>
        <w:t xml:space="preserve"> se </w:t>
      </w:r>
      <w:r w:rsidR="00C517F3" w:rsidRPr="00EE1E00">
        <w:rPr>
          <w:rFonts w:ascii="Palatino Linotype" w:hAnsi="Palatino Linotype" w:cs="Arial"/>
          <w:sz w:val="28"/>
          <w:szCs w:val="28"/>
          <w:lang w:val="es-ES"/>
        </w:rPr>
        <w:t>ha elaborad</w:t>
      </w:r>
      <w:r w:rsidRPr="00EE1E00">
        <w:rPr>
          <w:rFonts w:ascii="Palatino Linotype" w:hAnsi="Palatino Linotype" w:cs="Arial"/>
          <w:sz w:val="28"/>
          <w:szCs w:val="28"/>
          <w:lang w:val="es-ES"/>
        </w:rPr>
        <w:t xml:space="preserve">o en </w:t>
      </w:r>
      <w:r w:rsidR="00C517F3" w:rsidRPr="00EE1E00">
        <w:rPr>
          <w:rFonts w:ascii="Palatino Linotype" w:hAnsi="Palatino Linotype" w:cs="Arial"/>
          <w:sz w:val="28"/>
          <w:szCs w:val="28"/>
          <w:lang w:val="es-ES"/>
        </w:rPr>
        <w:t xml:space="preserve">base </w:t>
      </w:r>
      <w:r w:rsidR="00C323A3">
        <w:rPr>
          <w:rFonts w:ascii="Palatino Linotype" w:hAnsi="Palatino Linotype" w:cs="Arial"/>
          <w:sz w:val="28"/>
          <w:szCs w:val="28"/>
          <w:lang w:val="es-ES"/>
        </w:rPr>
        <w:t xml:space="preserve">al seguimiento de las actividades programadas por cada Departamento concluyendo en un resumen </w:t>
      </w:r>
      <w:r w:rsidR="00C86E39">
        <w:rPr>
          <w:rFonts w:ascii="Palatino Linotype" w:hAnsi="Palatino Linotype" w:cs="Arial"/>
          <w:sz w:val="28"/>
          <w:szCs w:val="28"/>
          <w:lang w:val="es-ES"/>
        </w:rPr>
        <w:t xml:space="preserve">de las </w:t>
      </w:r>
      <w:r w:rsidRPr="00EE1E00">
        <w:rPr>
          <w:rFonts w:ascii="Palatino Linotype" w:hAnsi="Palatino Linotype" w:cs="Arial"/>
          <w:sz w:val="28"/>
          <w:szCs w:val="28"/>
          <w:lang w:val="es-ES"/>
        </w:rPr>
        <w:t>metas logradas y no logradas</w:t>
      </w:r>
      <w:r w:rsidR="00C517F3" w:rsidRPr="00EE1E00">
        <w:rPr>
          <w:rFonts w:ascii="Palatino Linotype" w:hAnsi="Palatino Linotype" w:cs="Arial"/>
          <w:sz w:val="28"/>
          <w:szCs w:val="28"/>
          <w:lang w:val="es-ES"/>
        </w:rPr>
        <w:t>.</w:t>
      </w:r>
    </w:p>
    <w:p w14:paraId="245EC441" w14:textId="01D3C350" w:rsidR="00C40B10" w:rsidRDefault="00C40B10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33F87A94" w14:textId="5E83412E" w:rsidR="00C33C5B" w:rsidRDefault="00C33C5B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6C686224" w14:textId="7B89F683" w:rsidR="00C33C5B" w:rsidRDefault="00C33C5B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76C2EE1B" w14:textId="2F357F04" w:rsidR="00C33C5B" w:rsidRDefault="00C33C5B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32568403" w14:textId="3C132C79" w:rsidR="00C33C5B" w:rsidRDefault="00C33C5B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469DFF70" w14:textId="365D5197" w:rsidR="00C33C5B" w:rsidRDefault="00C33C5B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350FE8E5" w14:textId="3E666744" w:rsidR="00C33C5B" w:rsidRDefault="00C33C5B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79947FE1" w14:textId="50FAD552" w:rsidR="00C33C5B" w:rsidRDefault="00C33C5B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41D68AEC" w14:textId="5E9C5B4C" w:rsidR="00C33C5B" w:rsidRDefault="00C33C5B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2F674B1A" w14:textId="28B8EBC7" w:rsidR="00C33C5B" w:rsidRDefault="00C33C5B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593A0822" w14:textId="2256EE33" w:rsidR="00C33C5B" w:rsidRDefault="00C33C5B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7BFCD8F0" w14:textId="2E1B7B28" w:rsidR="00C33C5B" w:rsidRDefault="00C33C5B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6F506CB1" w14:textId="7B66C738" w:rsidR="00C33C5B" w:rsidRDefault="00C33C5B" w:rsidP="00EE1E00">
      <w:pPr>
        <w:spacing w:before="192" w:line="240" w:lineRule="auto"/>
        <w:jc w:val="both"/>
        <w:rPr>
          <w:rFonts w:ascii="Palatino Linotype" w:hAnsi="Palatino Linotype" w:cs="Arial"/>
          <w:b/>
          <w:bCs/>
          <w:sz w:val="28"/>
          <w:szCs w:val="28"/>
          <w:lang w:val="es-ES"/>
        </w:rPr>
      </w:pPr>
    </w:p>
    <w:p w14:paraId="57712DC7" w14:textId="6DD163C4" w:rsidR="00157995" w:rsidRPr="008E03E6" w:rsidRDefault="004B66F4" w:rsidP="00EE1E0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Palatino Linotype" w:hAnsi="Palatino Linotype"/>
          <w:b/>
          <w:bCs/>
          <w:sz w:val="28"/>
          <w:szCs w:val="28"/>
          <w:u w:val="single"/>
        </w:rPr>
      </w:pPr>
      <w:r w:rsidRPr="008E03E6">
        <w:rPr>
          <w:rFonts w:ascii="Palatino Linotype" w:hAnsi="Palatino Linotype"/>
          <w:b/>
          <w:bCs/>
          <w:sz w:val="28"/>
          <w:szCs w:val="28"/>
          <w:u w:val="single"/>
        </w:rPr>
        <w:t>EJECUCION DEL POA 202</w:t>
      </w:r>
      <w:r w:rsidR="002B48EC">
        <w:rPr>
          <w:rFonts w:ascii="Palatino Linotype" w:hAnsi="Palatino Linotype"/>
          <w:b/>
          <w:bCs/>
          <w:sz w:val="28"/>
          <w:szCs w:val="28"/>
          <w:u w:val="single"/>
        </w:rPr>
        <w:t>2</w:t>
      </w:r>
    </w:p>
    <w:p w14:paraId="27DC1335" w14:textId="6E4CBA38" w:rsidR="009B66E2" w:rsidRDefault="009B66E2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El POA 202</w:t>
      </w:r>
      <w:r w:rsidR="002B48EC">
        <w:rPr>
          <w:rFonts w:ascii="Palatino Linotype" w:hAnsi="Palatino Linotype"/>
          <w:sz w:val="28"/>
          <w:szCs w:val="28"/>
        </w:rPr>
        <w:t>2</w:t>
      </w:r>
      <w:r w:rsidR="007B021A">
        <w:rPr>
          <w:rFonts w:ascii="Palatino Linotype" w:hAnsi="Palatino Linotype"/>
          <w:sz w:val="28"/>
          <w:szCs w:val="28"/>
        </w:rPr>
        <w:t xml:space="preserve"> del CCDF</w:t>
      </w:r>
      <w:r>
        <w:rPr>
          <w:rFonts w:ascii="Palatino Linotype" w:hAnsi="Palatino Linotype"/>
          <w:sz w:val="28"/>
          <w:szCs w:val="28"/>
        </w:rPr>
        <w:t xml:space="preserve"> ha sido diseñado en base a 2 Ejes Estratégicos:</w:t>
      </w:r>
    </w:p>
    <w:p w14:paraId="38B9ECAB" w14:textId="389B1A3F" w:rsidR="009B66E2" w:rsidRPr="008E03E6" w:rsidRDefault="009B66E2" w:rsidP="009B66E2">
      <w:pPr>
        <w:spacing w:line="240" w:lineRule="auto"/>
        <w:jc w:val="both"/>
        <w:rPr>
          <w:rFonts w:ascii="Palatino Linotype" w:hAnsi="Palatino Linotype"/>
          <w:i/>
          <w:iCs/>
          <w:sz w:val="28"/>
          <w:szCs w:val="28"/>
        </w:rPr>
      </w:pPr>
      <w:r w:rsidRPr="008E03E6"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t>Eje 1:</w:t>
      </w:r>
      <w:r w:rsidRPr="008E03E6">
        <w:rPr>
          <w:rFonts w:ascii="Palatino Linotype" w:hAnsi="Palatino Linotype"/>
          <w:i/>
          <w:iCs/>
          <w:sz w:val="28"/>
          <w:szCs w:val="28"/>
        </w:rPr>
        <w:t xml:space="preserve"> Apoyo a la creación de empleos, al desarrollo de capacidades y bienestar social en la Zona Especial de Desarrollo Fronterizo</w:t>
      </w:r>
    </w:p>
    <w:p w14:paraId="27DBDCFF" w14:textId="24D14095" w:rsidR="009B66E2" w:rsidRDefault="009A46DE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Apegados a la Estrategia Nacional de Desarrollo, en su objetivo específico 2.4.3 que busca promover el desarrollo sostenible en la frontera, el CCDF se ha enfocado en ejecutar </w:t>
      </w:r>
      <w:r w:rsidR="00D20E90">
        <w:rPr>
          <w:rFonts w:ascii="Palatino Linotype" w:hAnsi="Palatino Linotype"/>
          <w:sz w:val="28"/>
          <w:szCs w:val="28"/>
        </w:rPr>
        <w:t xml:space="preserve">durante el </w:t>
      </w:r>
      <w:r w:rsidR="00B93E1F">
        <w:rPr>
          <w:rFonts w:ascii="Palatino Linotype" w:hAnsi="Palatino Linotype"/>
          <w:sz w:val="28"/>
          <w:szCs w:val="28"/>
        </w:rPr>
        <w:t>segundo</w:t>
      </w:r>
      <w:r w:rsidR="00D20E90">
        <w:rPr>
          <w:rFonts w:ascii="Palatino Linotype" w:hAnsi="Palatino Linotype"/>
          <w:sz w:val="28"/>
          <w:szCs w:val="28"/>
        </w:rPr>
        <w:t xml:space="preserve"> trimestre del 2022 </w:t>
      </w:r>
      <w:r>
        <w:rPr>
          <w:rFonts w:ascii="Palatino Linotype" w:hAnsi="Palatino Linotype"/>
          <w:sz w:val="28"/>
          <w:szCs w:val="28"/>
        </w:rPr>
        <w:t>un</w:t>
      </w:r>
      <w:r w:rsidR="002B48EC">
        <w:rPr>
          <w:rFonts w:ascii="Palatino Linotype" w:hAnsi="Palatino Linotype"/>
          <w:sz w:val="28"/>
          <w:szCs w:val="28"/>
        </w:rPr>
        <w:t xml:space="preserve"> total de </w:t>
      </w:r>
      <w:r w:rsidR="00D95B35">
        <w:rPr>
          <w:rFonts w:ascii="Palatino Linotype" w:hAnsi="Palatino Linotype"/>
          <w:sz w:val="28"/>
          <w:szCs w:val="28"/>
        </w:rPr>
        <w:t>diez</w:t>
      </w:r>
      <w:r w:rsidR="002B48EC">
        <w:rPr>
          <w:rFonts w:ascii="Palatino Linotype" w:hAnsi="Palatino Linotype"/>
          <w:sz w:val="28"/>
          <w:szCs w:val="28"/>
        </w:rPr>
        <w:t xml:space="preserve"> (</w:t>
      </w:r>
      <w:r w:rsidR="00D95B35">
        <w:rPr>
          <w:rFonts w:ascii="Palatino Linotype" w:hAnsi="Palatino Linotype"/>
          <w:sz w:val="28"/>
          <w:szCs w:val="28"/>
        </w:rPr>
        <w:t>10</w:t>
      </w:r>
      <w:r w:rsidR="002B48EC">
        <w:rPr>
          <w:rFonts w:ascii="Palatino Linotype" w:hAnsi="Palatino Linotype"/>
          <w:sz w:val="28"/>
          <w:szCs w:val="28"/>
        </w:rPr>
        <w:t>)</w:t>
      </w:r>
      <w:r>
        <w:rPr>
          <w:rFonts w:ascii="Palatino Linotype" w:hAnsi="Palatino Linotype"/>
          <w:sz w:val="28"/>
          <w:szCs w:val="28"/>
        </w:rPr>
        <w:t xml:space="preserve"> actividades en el Eje </w:t>
      </w:r>
      <w:r w:rsidR="00584FB7">
        <w:rPr>
          <w:rFonts w:ascii="Palatino Linotype" w:hAnsi="Palatino Linotype"/>
          <w:sz w:val="28"/>
          <w:szCs w:val="28"/>
        </w:rPr>
        <w:t>Estratégico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C13FFC">
        <w:rPr>
          <w:rFonts w:ascii="Palatino Linotype" w:hAnsi="Palatino Linotype"/>
          <w:sz w:val="28"/>
          <w:szCs w:val="28"/>
        </w:rPr>
        <w:t>No.</w:t>
      </w:r>
      <w:r>
        <w:rPr>
          <w:rFonts w:ascii="Palatino Linotype" w:hAnsi="Palatino Linotype"/>
          <w:sz w:val="28"/>
          <w:szCs w:val="28"/>
        </w:rPr>
        <w:t>1 alineadas a este objetivo.</w:t>
      </w:r>
    </w:p>
    <w:p w14:paraId="6D65C429" w14:textId="77777777" w:rsidR="00F64579" w:rsidRPr="008E03E6" w:rsidRDefault="00F64579" w:rsidP="00F64579">
      <w:pPr>
        <w:spacing w:line="240" w:lineRule="auto"/>
        <w:jc w:val="both"/>
        <w:rPr>
          <w:rFonts w:ascii="Palatino Linotype" w:hAnsi="Palatino Linotype"/>
          <w:i/>
          <w:iCs/>
          <w:sz w:val="28"/>
          <w:szCs w:val="28"/>
        </w:rPr>
      </w:pPr>
      <w:r w:rsidRPr="008E03E6"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t>Eje 2:</w:t>
      </w:r>
      <w:r w:rsidRPr="008E03E6">
        <w:rPr>
          <w:rFonts w:ascii="Palatino Linotype" w:hAnsi="Palatino Linotype"/>
          <w:i/>
          <w:iCs/>
          <w:sz w:val="28"/>
          <w:szCs w:val="28"/>
        </w:rPr>
        <w:t xml:space="preserve"> Fortalecimiento Institucional</w:t>
      </w:r>
    </w:p>
    <w:p w14:paraId="249D213D" w14:textId="08EE77D6" w:rsidR="009A46DE" w:rsidRDefault="009A46DE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Así mismo, en concordancia con el objetivo especifico de la END 1.1.1 </w:t>
      </w:r>
      <w:r w:rsidR="00C13FFC">
        <w:rPr>
          <w:rFonts w:ascii="Palatino Linotype" w:hAnsi="Palatino Linotype"/>
          <w:sz w:val="28"/>
          <w:szCs w:val="28"/>
        </w:rPr>
        <w:t xml:space="preserve">que busca una Administración pública, eficiente y orientada a resultados, </w:t>
      </w:r>
      <w:r>
        <w:rPr>
          <w:rFonts w:ascii="Palatino Linotype" w:hAnsi="Palatino Linotype"/>
          <w:sz w:val="28"/>
          <w:szCs w:val="28"/>
        </w:rPr>
        <w:t>nuestra Institución</w:t>
      </w:r>
      <w:r w:rsidR="00C13FFC">
        <w:rPr>
          <w:rFonts w:ascii="Palatino Linotype" w:hAnsi="Palatino Linotype"/>
          <w:sz w:val="28"/>
          <w:szCs w:val="28"/>
        </w:rPr>
        <w:t xml:space="preserve"> ha contemplado </w:t>
      </w:r>
      <w:r w:rsidR="00321F0F">
        <w:rPr>
          <w:rFonts w:ascii="Palatino Linotype" w:hAnsi="Palatino Linotype"/>
          <w:sz w:val="28"/>
          <w:szCs w:val="28"/>
        </w:rPr>
        <w:t xml:space="preserve">un total de </w:t>
      </w:r>
      <w:r w:rsidR="00D95B35">
        <w:rPr>
          <w:rFonts w:ascii="Palatino Linotype" w:hAnsi="Palatino Linotype"/>
          <w:sz w:val="28"/>
          <w:szCs w:val="28"/>
        </w:rPr>
        <w:t>cuarent</w:t>
      </w:r>
      <w:r w:rsidR="00321F0F">
        <w:rPr>
          <w:rFonts w:ascii="Palatino Linotype" w:hAnsi="Palatino Linotype"/>
          <w:sz w:val="28"/>
          <w:szCs w:val="28"/>
        </w:rPr>
        <w:t xml:space="preserve">a </w:t>
      </w:r>
      <w:r w:rsidR="003452A1">
        <w:rPr>
          <w:rFonts w:ascii="Palatino Linotype" w:hAnsi="Palatino Linotype"/>
          <w:sz w:val="28"/>
          <w:szCs w:val="28"/>
        </w:rPr>
        <w:t xml:space="preserve">y </w:t>
      </w:r>
      <w:r w:rsidR="00345374">
        <w:rPr>
          <w:rFonts w:ascii="Palatino Linotype" w:hAnsi="Palatino Linotype"/>
          <w:sz w:val="28"/>
          <w:szCs w:val="28"/>
        </w:rPr>
        <w:t>seis</w:t>
      </w:r>
      <w:r w:rsidR="003452A1">
        <w:rPr>
          <w:rFonts w:ascii="Palatino Linotype" w:hAnsi="Palatino Linotype"/>
          <w:sz w:val="28"/>
          <w:szCs w:val="28"/>
        </w:rPr>
        <w:t xml:space="preserve"> </w:t>
      </w:r>
      <w:r w:rsidR="00321F0F">
        <w:rPr>
          <w:rFonts w:ascii="Palatino Linotype" w:hAnsi="Palatino Linotype"/>
          <w:sz w:val="28"/>
          <w:szCs w:val="28"/>
        </w:rPr>
        <w:t>(</w:t>
      </w:r>
      <w:r w:rsidR="00D95B35">
        <w:rPr>
          <w:rFonts w:ascii="Palatino Linotype" w:hAnsi="Palatino Linotype"/>
          <w:sz w:val="28"/>
          <w:szCs w:val="28"/>
        </w:rPr>
        <w:t>4</w:t>
      </w:r>
      <w:r w:rsidR="00345374">
        <w:rPr>
          <w:rFonts w:ascii="Palatino Linotype" w:hAnsi="Palatino Linotype"/>
          <w:sz w:val="28"/>
          <w:szCs w:val="28"/>
        </w:rPr>
        <w:t>6</w:t>
      </w:r>
      <w:r w:rsidR="00321F0F">
        <w:rPr>
          <w:rFonts w:ascii="Palatino Linotype" w:hAnsi="Palatino Linotype"/>
          <w:sz w:val="28"/>
          <w:szCs w:val="28"/>
        </w:rPr>
        <w:t xml:space="preserve">) </w:t>
      </w:r>
      <w:r w:rsidR="00C13FFC">
        <w:rPr>
          <w:rFonts w:ascii="Palatino Linotype" w:hAnsi="Palatino Linotype"/>
          <w:sz w:val="28"/>
          <w:szCs w:val="28"/>
        </w:rPr>
        <w:t xml:space="preserve">actividades para asegurar la calidad y el mejoramiento del desempeño institucional en el Eje </w:t>
      </w:r>
      <w:r w:rsidR="00584FB7">
        <w:rPr>
          <w:rFonts w:ascii="Palatino Linotype" w:hAnsi="Palatino Linotype"/>
          <w:sz w:val="28"/>
          <w:szCs w:val="28"/>
        </w:rPr>
        <w:t>Estratégico</w:t>
      </w:r>
      <w:r w:rsidR="00C13FFC">
        <w:rPr>
          <w:rFonts w:ascii="Palatino Linotype" w:hAnsi="Palatino Linotype"/>
          <w:sz w:val="28"/>
          <w:szCs w:val="28"/>
        </w:rPr>
        <w:t xml:space="preserve"> No.2</w:t>
      </w:r>
      <w:r w:rsidR="00321F0F">
        <w:rPr>
          <w:rFonts w:ascii="Palatino Linotype" w:hAnsi="Palatino Linotype"/>
          <w:sz w:val="28"/>
          <w:szCs w:val="28"/>
        </w:rPr>
        <w:t xml:space="preserve"> durante el </w:t>
      </w:r>
      <w:r w:rsidR="009C7B3D">
        <w:rPr>
          <w:rFonts w:ascii="Palatino Linotype" w:hAnsi="Palatino Linotype"/>
          <w:sz w:val="28"/>
          <w:szCs w:val="28"/>
        </w:rPr>
        <w:t>segundo</w:t>
      </w:r>
      <w:r w:rsidR="00321F0F">
        <w:rPr>
          <w:rFonts w:ascii="Palatino Linotype" w:hAnsi="Palatino Linotype"/>
          <w:sz w:val="28"/>
          <w:szCs w:val="28"/>
        </w:rPr>
        <w:t xml:space="preserve"> trimestre </w:t>
      </w:r>
      <w:r w:rsidR="009C7B3D">
        <w:rPr>
          <w:rFonts w:ascii="Palatino Linotype" w:hAnsi="Palatino Linotype"/>
          <w:sz w:val="28"/>
          <w:szCs w:val="28"/>
        </w:rPr>
        <w:t xml:space="preserve">del </w:t>
      </w:r>
      <w:r w:rsidR="00321F0F">
        <w:rPr>
          <w:rFonts w:ascii="Palatino Linotype" w:hAnsi="Palatino Linotype"/>
          <w:sz w:val="28"/>
          <w:szCs w:val="28"/>
        </w:rPr>
        <w:t>2022.</w:t>
      </w:r>
    </w:p>
    <w:p w14:paraId="79881DF5" w14:textId="77777777" w:rsidR="005A3A37" w:rsidRDefault="005A3A37" w:rsidP="00EE1E00">
      <w:pPr>
        <w:spacing w:line="240" w:lineRule="auto"/>
        <w:jc w:val="both"/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</w:pPr>
    </w:p>
    <w:p w14:paraId="1326FB72" w14:textId="6EF2F404" w:rsidR="009A46DE" w:rsidRPr="00F64579" w:rsidRDefault="00214931" w:rsidP="00EE1E00">
      <w:pPr>
        <w:spacing w:line="240" w:lineRule="auto"/>
        <w:jc w:val="both"/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</w:pPr>
      <w:r w:rsidRPr="00F64579"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t>Ejecución del POA (Eje 1):</w:t>
      </w:r>
    </w:p>
    <w:p w14:paraId="2B77180A" w14:textId="20563A6C" w:rsidR="00214931" w:rsidRDefault="00321F0F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A </w:t>
      </w:r>
      <w:proofErr w:type="gramStart"/>
      <w:r>
        <w:rPr>
          <w:rFonts w:ascii="Palatino Linotype" w:hAnsi="Palatino Linotype"/>
          <w:sz w:val="28"/>
          <w:szCs w:val="28"/>
        </w:rPr>
        <w:t>continuación</w:t>
      </w:r>
      <w:proofErr w:type="gramEnd"/>
      <w:r>
        <w:rPr>
          <w:rFonts w:ascii="Palatino Linotype" w:hAnsi="Palatino Linotype"/>
          <w:sz w:val="28"/>
          <w:szCs w:val="28"/>
        </w:rPr>
        <w:t xml:space="preserve"> se muestra el nivel de ejecución de las </w:t>
      </w:r>
      <w:r w:rsidR="00D8736D">
        <w:rPr>
          <w:rFonts w:ascii="Palatino Linotype" w:hAnsi="Palatino Linotype"/>
          <w:sz w:val="28"/>
          <w:szCs w:val="28"/>
        </w:rPr>
        <w:t xml:space="preserve">actividades </w:t>
      </w:r>
      <w:r w:rsidR="00214931">
        <w:rPr>
          <w:rFonts w:ascii="Palatino Linotype" w:hAnsi="Palatino Linotype"/>
          <w:sz w:val="28"/>
          <w:szCs w:val="28"/>
        </w:rPr>
        <w:t xml:space="preserve">programadas para este Eje en el </w:t>
      </w:r>
      <w:r w:rsidR="00D8736D">
        <w:rPr>
          <w:rFonts w:ascii="Palatino Linotype" w:hAnsi="Palatino Linotype"/>
          <w:sz w:val="28"/>
          <w:szCs w:val="28"/>
        </w:rPr>
        <w:t>segundo</w:t>
      </w:r>
      <w:r w:rsidR="00214931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trimes</w:t>
      </w:r>
      <w:r w:rsidR="00214931">
        <w:rPr>
          <w:rFonts w:ascii="Palatino Linotype" w:hAnsi="Palatino Linotype"/>
          <w:sz w:val="28"/>
          <w:szCs w:val="28"/>
        </w:rPr>
        <w:t>tre del año 202</w:t>
      </w:r>
      <w:r>
        <w:rPr>
          <w:rFonts w:ascii="Palatino Linotype" w:hAnsi="Palatino Linotype"/>
          <w:sz w:val="28"/>
          <w:szCs w:val="28"/>
        </w:rPr>
        <w:t>2</w:t>
      </w:r>
      <w:r w:rsidR="00214931">
        <w:rPr>
          <w:rFonts w:ascii="Palatino Linotype" w:hAnsi="Palatino Linotype"/>
          <w:sz w:val="28"/>
          <w:szCs w:val="28"/>
        </w:rPr>
        <w:t xml:space="preserve">, </w:t>
      </w:r>
      <w:r w:rsidR="00F64579">
        <w:rPr>
          <w:rFonts w:ascii="Palatino Linotype" w:hAnsi="Palatino Linotype"/>
          <w:sz w:val="28"/>
          <w:szCs w:val="28"/>
        </w:rPr>
        <w:t>en esta Tabla se refleja un resumen de los</w:t>
      </w:r>
      <w:r w:rsidR="00214931">
        <w:rPr>
          <w:rFonts w:ascii="Palatino Linotype" w:hAnsi="Palatino Linotype"/>
          <w:sz w:val="28"/>
          <w:szCs w:val="28"/>
        </w:rPr>
        <w:t xml:space="preserve"> resultados:</w:t>
      </w:r>
    </w:p>
    <w:p w14:paraId="12F79719" w14:textId="41EE420B" w:rsidR="00F64579" w:rsidRDefault="00F64579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Tabla No.1</w:t>
      </w:r>
    </w:p>
    <w:tbl>
      <w:tblPr>
        <w:tblW w:w="2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40"/>
      </w:tblGrid>
      <w:tr w:rsidR="00C169EF" w:rsidRPr="00C169EF" w14:paraId="13A79F6E" w14:textId="77777777" w:rsidTr="00C169EF">
        <w:trPr>
          <w:trHeight w:val="31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2A59052F" w14:textId="77777777" w:rsidR="00C169EF" w:rsidRPr="00C169EF" w:rsidRDefault="00C169EF" w:rsidP="00C169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Estatus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428934C" w14:textId="77777777" w:rsidR="00C169EF" w:rsidRPr="00C169EF" w:rsidRDefault="00C169EF" w:rsidP="00C169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No. Actividades</w:t>
            </w:r>
          </w:p>
        </w:tc>
      </w:tr>
      <w:tr w:rsidR="00C169EF" w:rsidRPr="00C169EF" w14:paraId="42BD4C43" w14:textId="77777777" w:rsidTr="00C169EF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0A1E" w14:textId="77777777" w:rsidR="00C169EF" w:rsidRPr="00C169EF" w:rsidRDefault="00C169EF" w:rsidP="00C16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color w:val="000000"/>
                <w:lang w:eastAsia="es-DO"/>
              </w:rPr>
              <w:t>No iniciado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3CDB7F" w14:textId="7ABCC2CC" w:rsidR="00C169EF" w:rsidRPr="00C169EF" w:rsidRDefault="00345374" w:rsidP="00C169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C169EF" w:rsidRPr="00C169EF" w14:paraId="2A203D34" w14:textId="77777777" w:rsidTr="00C169EF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77DC" w14:textId="77777777" w:rsidR="00C169EF" w:rsidRPr="00C169EF" w:rsidRDefault="00C169EF" w:rsidP="00C16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color w:val="000000"/>
                <w:lang w:eastAsia="es-DO"/>
              </w:rPr>
              <w:t>En proceso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BA24BD" w14:textId="68DC0CAC" w:rsidR="00C169EF" w:rsidRPr="00C169EF" w:rsidRDefault="00345374" w:rsidP="00C169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C169EF" w:rsidRPr="00C169EF" w14:paraId="7394B52D" w14:textId="77777777" w:rsidTr="00C169EF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C5DD" w14:textId="77777777" w:rsidR="00C169EF" w:rsidRPr="00C169EF" w:rsidRDefault="00C169EF" w:rsidP="00C16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color w:val="000000"/>
                <w:lang w:eastAsia="es-DO"/>
              </w:rPr>
              <w:t>Logrado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42B7E2F" w14:textId="77777777" w:rsidR="00C169EF" w:rsidRPr="00C169EF" w:rsidRDefault="00C169EF" w:rsidP="00C169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</w:tbl>
    <w:p w14:paraId="53A0B7C9" w14:textId="77777777" w:rsidR="00E268D6" w:rsidRDefault="00E268D6" w:rsidP="00886735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7AA6B243" w14:textId="379B15D1" w:rsidR="00886735" w:rsidRDefault="009E1639" w:rsidP="00886735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L</w:t>
      </w:r>
      <w:r w:rsidR="001C10E5">
        <w:rPr>
          <w:rFonts w:ascii="Palatino Linotype" w:hAnsi="Palatino Linotype"/>
          <w:sz w:val="28"/>
          <w:szCs w:val="28"/>
        </w:rPr>
        <w:t xml:space="preserve">as diferentes actividades programadas </w:t>
      </w:r>
      <w:r>
        <w:rPr>
          <w:rFonts w:ascii="Palatino Linotype" w:hAnsi="Palatino Linotype"/>
          <w:sz w:val="28"/>
          <w:szCs w:val="28"/>
        </w:rPr>
        <w:t xml:space="preserve">en este Eje </w:t>
      </w:r>
      <w:r w:rsidR="001C10E5">
        <w:rPr>
          <w:rFonts w:ascii="Palatino Linotype" w:hAnsi="Palatino Linotype"/>
          <w:sz w:val="28"/>
          <w:szCs w:val="28"/>
        </w:rPr>
        <w:t xml:space="preserve">fueron asignadas a una unidad responsable. </w:t>
      </w:r>
      <w:r w:rsidR="00A74BFB">
        <w:rPr>
          <w:rFonts w:ascii="Palatino Linotype" w:hAnsi="Palatino Linotype"/>
          <w:sz w:val="28"/>
          <w:szCs w:val="28"/>
        </w:rPr>
        <w:t>En la siguiente tabla (Tabla No.2)</w:t>
      </w:r>
      <w:r w:rsidR="00886735">
        <w:rPr>
          <w:rFonts w:ascii="Palatino Linotype" w:hAnsi="Palatino Linotype"/>
          <w:sz w:val="28"/>
          <w:szCs w:val="28"/>
        </w:rPr>
        <w:t>, se presenta la relación de los productos logrados y no logrados por Área responsable:</w:t>
      </w:r>
    </w:p>
    <w:p w14:paraId="09E8F9C9" w14:textId="19201662" w:rsidR="007156F9" w:rsidRDefault="007156F9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Tabla No.</w:t>
      </w:r>
      <w:r w:rsidR="00F64579">
        <w:rPr>
          <w:rFonts w:ascii="Palatino Linotype" w:hAnsi="Palatino Linotype"/>
          <w:sz w:val="28"/>
          <w:szCs w:val="28"/>
        </w:rPr>
        <w:t>2</w:t>
      </w:r>
    </w:p>
    <w:tbl>
      <w:tblPr>
        <w:tblW w:w="7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420"/>
        <w:gridCol w:w="1360"/>
        <w:gridCol w:w="1200"/>
        <w:gridCol w:w="1200"/>
      </w:tblGrid>
      <w:tr w:rsidR="00C169EF" w:rsidRPr="00C169EF" w14:paraId="10866321" w14:textId="77777777" w:rsidTr="00C169EF">
        <w:trPr>
          <w:trHeight w:val="615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8845C2D" w14:textId="77777777" w:rsidR="00C169EF" w:rsidRPr="00C169EF" w:rsidRDefault="00C169EF" w:rsidP="00C16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proofErr w:type="gramStart"/>
            <w:r w:rsidRPr="00C169E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DEPARTAMENTO  /</w:t>
            </w:r>
            <w:proofErr w:type="gramEnd"/>
            <w:r w:rsidRPr="00C169E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DIVISION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8D10131" w14:textId="77777777" w:rsidR="00C169EF" w:rsidRPr="00C169EF" w:rsidRDefault="00C169EF" w:rsidP="00C16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CANTIDAD DE ACTIVIDADES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5277C49" w14:textId="77777777" w:rsidR="00C169EF" w:rsidRPr="00C169EF" w:rsidRDefault="00C169EF" w:rsidP="00C16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EJECUTADAS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6D7BAEF" w14:textId="77777777" w:rsidR="00C169EF" w:rsidRPr="00C169EF" w:rsidRDefault="00C169EF" w:rsidP="00C16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EN EJECUCION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D2B486D" w14:textId="77777777" w:rsidR="00C169EF" w:rsidRPr="00C169EF" w:rsidRDefault="00C169EF" w:rsidP="00C16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NO INICIADAS</w:t>
            </w:r>
          </w:p>
        </w:tc>
      </w:tr>
      <w:tr w:rsidR="00E03CFC" w:rsidRPr="00C169EF" w14:paraId="01337A56" w14:textId="77777777" w:rsidTr="00193321">
        <w:trPr>
          <w:trHeight w:val="615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7AFE7" w14:textId="70E55AA0" w:rsidR="00E03CFC" w:rsidRPr="00C169EF" w:rsidRDefault="00E03CFC" w:rsidP="00E03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División Planificación y Desarrollo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4092E" w14:textId="3AB8B5B6" w:rsidR="00E03CFC" w:rsidRPr="00C169EF" w:rsidRDefault="00E03CFC" w:rsidP="00E03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128DE" w14:textId="10FF73BC" w:rsidR="00E03CFC" w:rsidRPr="00C169EF" w:rsidRDefault="00E03CFC" w:rsidP="00E03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9897D" w14:textId="691AD235" w:rsidR="00E03CFC" w:rsidRDefault="003452A1" w:rsidP="00E03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C6D22" w14:textId="0A3D7B5C" w:rsidR="00E03CFC" w:rsidRPr="00C169EF" w:rsidRDefault="003452A1" w:rsidP="00E03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E03CFC" w:rsidRPr="00C169EF" w14:paraId="248AAF5B" w14:textId="77777777" w:rsidTr="00193321">
        <w:trPr>
          <w:trHeight w:val="1029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4B37C" w14:textId="4D70547F" w:rsidR="00E03CFC" w:rsidRPr="00C169EF" w:rsidRDefault="00E03CFC" w:rsidP="00E03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Departamento de Evaluación y Clasificación de proyectos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269A86" w14:textId="5B1FE081" w:rsidR="00E03CFC" w:rsidRPr="00C169EF" w:rsidRDefault="00E03CFC" w:rsidP="00E03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2F7E6" w14:textId="538EE41E" w:rsidR="00E03CFC" w:rsidRPr="00C169EF" w:rsidRDefault="00037132" w:rsidP="00E03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CF7B7" w14:textId="2BD23295" w:rsidR="00E03CFC" w:rsidRPr="00C169EF" w:rsidRDefault="00037132" w:rsidP="00E03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7F40E" w14:textId="5E9A9263" w:rsidR="00E03CFC" w:rsidRPr="00C169EF" w:rsidRDefault="00E03CFC" w:rsidP="00E03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C169EF" w:rsidRPr="00C169EF" w14:paraId="620E7D88" w14:textId="77777777" w:rsidTr="00193321">
        <w:trPr>
          <w:trHeight w:val="564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EDA04" w14:textId="77777777" w:rsidR="00C169EF" w:rsidRPr="00C169EF" w:rsidRDefault="00C169EF" w:rsidP="00C16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color w:val="000000"/>
                <w:lang w:eastAsia="es-DO"/>
              </w:rPr>
              <w:t>Depto. Incentivos y Fiscalización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E8D3D" w14:textId="70F4A973" w:rsidR="00C169EF" w:rsidRPr="00C169EF" w:rsidRDefault="00E03CFC" w:rsidP="00C16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D496E" w14:textId="3307B576" w:rsidR="00C169EF" w:rsidRPr="00C169EF" w:rsidRDefault="00193321" w:rsidP="00C16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6F87A" w14:textId="39EB563F" w:rsidR="00C169EF" w:rsidRPr="00C169EF" w:rsidRDefault="00037132" w:rsidP="00C16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708EE" w14:textId="145879BE" w:rsidR="00C169EF" w:rsidRPr="00C169EF" w:rsidRDefault="00037132" w:rsidP="00C16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C169EF" w:rsidRPr="00C169EF" w14:paraId="2BDFCF4B" w14:textId="77777777" w:rsidTr="00C169EF">
        <w:trPr>
          <w:trHeight w:val="315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B9E6" w14:textId="77777777" w:rsidR="00C169EF" w:rsidRPr="00C169EF" w:rsidRDefault="00C169EF" w:rsidP="00C169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2912F" w14:textId="5E27DF91" w:rsidR="00C169EF" w:rsidRPr="00C169EF" w:rsidRDefault="00E03CFC" w:rsidP="00C169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88FBD" w14:textId="4699BEE8" w:rsidR="00C169EF" w:rsidRPr="00C169EF" w:rsidRDefault="00193321" w:rsidP="00C169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F336E" w14:textId="10D884A0" w:rsidR="00C169EF" w:rsidRPr="00C169EF" w:rsidRDefault="003452A1" w:rsidP="00C169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4E0C5" w14:textId="13623E37" w:rsidR="00C169EF" w:rsidRPr="00C169EF" w:rsidRDefault="003452A1" w:rsidP="00C169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3</w:t>
            </w:r>
          </w:p>
        </w:tc>
      </w:tr>
    </w:tbl>
    <w:p w14:paraId="72079FA1" w14:textId="77777777" w:rsidR="00CA4BA6" w:rsidRDefault="00CA4BA6" w:rsidP="00CA4BA6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1919CF5D" w14:textId="133A3F35" w:rsidR="00104E5D" w:rsidRDefault="00F5288D" w:rsidP="00CA4BA6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Las actividades que se </w:t>
      </w:r>
      <w:r w:rsidR="006F4DE7">
        <w:rPr>
          <w:rFonts w:ascii="Palatino Linotype" w:hAnsi="Palatino Linotype"/>
          <w:sz w:val="28"/>
          <w:szCs w:val="28"/>
        </w:rPr>
        <w:t>han ejecutado</w:t>
      </w:r>
      <w:r w:rsidR="007327AB">
        <w:rPr>
          <w:rFonts w:ascii="Palatino Linotype" w:hAnsi="Palatino Linotype"/>
          <w:sz w:val="28"/>
          <w:szCs w:val="28"/>
        </w:rPr>
        <w:t xml:space="preserve"> </w:t>
      </w:r>
      <w:r w:rsidR="00847945">
        <w:rPr>
          <w:rFonts w:ascii="Palatino Linotype" w:hAnsi="Palatino Linotype"/>
          <w:sz w:val="28"/>
          <w:szCs w:val="28"/>
        </w:rPr>
        <w:t>durante el 2do trimestre</w:t>
      </w:r>
      <w:r w:rsidR="00C870FD">
        <w:rPr>
          <w:rFonts w:ascii="Palatino Linotype" w:hAnsi="Palatino Linotype"/>
          <w:sz w:val="28"/>
          <w:szCs w:val="28"/>
        </w:rPr>
        <w:t xml:space="preserve"> del 2022</w:t>
      </w:r>
      <w:r w:rsidR="00847945">
        <w:rPr>
          <w:rFonts w:ascii="Palatino Linotype" w:hAnsi="Palatino Linotype"/>
          <w:sz w:val="28"/>
          <w:szCs w:val="28"/>
        </w:rPr>
        <w:t xml:space="preserve"> comprende</w:t>
      </w:r>
      <w:r w:rsidR="00F855E3">
        <w:rPr>
          <w:rFonts w:ascii="Palatino Linotype" w:hAnsi="Palatino Linotype"/>
          <w:sz w:val="28"/>
          <w:szCs w:val="28"/>
        </w:rPr>
        <w:t>n</w:t>
      </w:r>
      <w:r w:rsidR="00847945">
        <w:rPr>
          <w:rFonts w:ascii="Palatino Linotype" w:hAnsi="Palatino Linotype"/>
          <w:sz w:val="28"/>
          <w:szCs w:val="28"/>
        </w:rPr>
        <w:t xml:space="preserve"> </w:t>
      </w:r>
      <w:r w:rsidR="007327AB">
        <w:rPr>
          <w:rFonts w:ascii="Palatino Linotype" w:hAnsi="Palatino Linotype"/>
          <w:sz w:val="28"/>
          <w:szCs w:val="28"/>
        </w:rPr>
        <w:t>la participación del CCDF en diversas actividades de índole social y deportivas que se han desarrollado en la Zona Fronteriza como parte del objetivo</w:t>
      </w:r>
      <w:r w:rsidR="00847945">
        <w:rPr>
          <w:rFonts w:ascii="Palatino Linotype" w:hAnsi="Palatino Linotype"/>
          <w:sz w:val="28"/>
          <w:szCs w:val="28"/>
        </w:rPr>
        <w:t xml:space="preserve"> de fomentar el bienestar social de las comunidades</w:t>
      </w:r>
      <w:r w:rsidR="00D8736D">
        <w:rPr>
          <w:rFonts w:ascii="Palatino Linotype" w:hAnsi="Palatino Linotype"/>
          <w:sz w:val="28"/>
          <w:szCs w:val="28"/>
        </w:rPr>
        <w:t xml:space="preserve"> en la frontera</w:t>
      </w:r>
      <w:r w:rsidR="00847945">
        <w:rPr>
          <w:rFonts w:ascii="Palatino Linotype" w:hAnsi="Palatino Linotype"/>
          <w:sz w:val="28"/>
          <w:szCs w:val="28"/>
        </w:rPr>
        <w:t xml:space="preserve">. De igual manera, se han llevado a cabo charlas de </w:t>
      </w:r>
      <w:r w:rsidR="00104E5D">
        <w:rPr>
          <w:rFonts w:ascii="Palatino Linotype" w:hAnsi="Palatino Linotype"/>
          <w:sz w:val="28"/>
          <w:szCs w:val="28"/>
        </w:rPr>
        <w:t>educación financiera impactando a más de 8</w:t>
      </w:r>
      <w:r w:rsidR="002B2CD0">
        <w:rPr>
          <w:rFonts w:ascii="Palatino Linotype" w:hAnsi="Palatino Linotype"/>
          <w:sz w:val="28"/>
          <w:szCs w:val="28"/>
        </w:rPr>
        <w:t>0</w:t>
      </w:r>
      <w:r w:rsidR="00104E5D">
        <w:rPr>
          <w:rFonts w:ascii="Palatino Linotype" w:hAnsi="Palatino Linotype"/>
          <w:sz w:val="28"/>
          <w:szCs w:val="28"/>
        </w:rPr>
        <w:t xml:space="preserve"> personas en la Zona Norte Fronteriza</w:t>
      </w:r>
      <w:r w:rsidR="00C870FD">
        <w:rPr>
          <w:rFonts w:ascii="Palatino Linotype" w:hAnsi="Palatino Linotype"/>
          <w:sz w:val="28"/>
          <w:szCs w:val="28"/>
        </w:rPr>
        <w:t xml:space="preserve"> durante el referido trimestre</w:t>
      </w:r>
      <w:r w:rsidR="00104E5D">
        <w:rPr>
          <w:rFonts w:ascii="Palatino Linotype" w:hAnsi="Palatino Linotype"/>
          <w:sz w:val="28"/>
          <w:szCs w:val="28"/>
        </w:rPr>
        <w:t xml:space="preserve">. </w:t>
      </w:r>
    </w:p>
    <w:p w14:paraId="5E377ABC" w14:textId="3C979EBC" w:rsidR="00FA6981" w:rsidRPr="00EE1E00" w:rsidRDefault="00FA6981" w:rsidP="00FA6981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El </w:t>
      </w:r>
      <w:proofErr w:type="spellStart"/>
      <w:r>
        <w:rPr>
          <w:rFonts w:ascii="Palatino Linotype" w:hAnsi="Palatino Linotype"/>
          <w:sz w:val="28"/>
          <w:szCs w:val="28"/>
        </w:rPr>
        <w:t>macro-producto</w:t>
      </w:r>
      <w:proofErr w:type="spellEnd"/>
      <w:r>
        <w:rPr>
          <w:rFonts w:ascii="Palatino Linotype" w:hAnsi="Palatino Linotype"/>
          <w:sz w:val="28"/>
          <w:szCs w:val="28"/>
        </w:rPr>
        <w:t xml:space="preserve"> del CCDF que se valora en los sistemas de medición del Estado, es la cantidad de supervisiones técnicas (de control, supervisión y regulación en el cumplimiento del régimen especial de Desarrollo Fronterizo) para conocer el uso de los incentivos fiscales, control de materia prima, equipos, maquinarias y darle el oportuno seguimiento a los indicadores de producción, económicos y sociales que genera</w:t>
      </w:r>
      <w:r w:rsidR="00D8736D">
        <w:rPr>
          <w:rFonts w:ascii="Palatino Linotype" w:hAnsi="Palatino Linotype"/>
          <w:sz w:val="28"/>
          <w:szCs w:val="28"/>
        </w:rPr>
        <w:t>n</w:t>
      </w:r>
      <w:r>
        <w:rPr>
          <w:rFonts w:ascii="Palatino Linotype" w:hAnsi="Palatino Linotype"/>
          <w:sz w:val="28"/>
          <w:szCs w:val="28"/>
        </w:rPr>
        <w:t xml:space="preserve"> las empresas acogidas a la Ley 28-01 (actual Ley 12-21); indicador que maneja el Departamento de Fiscalización y Control de Incentivos.</w:t>
      </w:r>
    </w:p>
    <w:p w14:paraId="116C63FA" w14:textId="77777777" w:rsidR="00FA6981" w:rsidRDefault="00FA6981" w:rsidP="00FA6981">
      <w:pPr>
        <w:spacing w:line="240" w:lineRule="auto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lastRenderedPageBreak/>
        <w:t>Para este año 2022</w:t>
      </w:r>
      <w:r w:rsidRPr="00EE1E00">
        <w:rPr>
          <w:rFonts w:ascii="Palatino Linotype" w:hAnsi="Palatino Linotype" w:cs="Arial"/>
          <w:sz w:val="28"/>
          <w:szCs w:val="28"/>
        </w:rPr>
        <w:t xml:space="preserve"> de las inspecciones a empresas acogidas a la Ley 28-01, </w:t>
      </w:r>
      <w:r>
        <w:rPr>
          <w:rFonts w:ascii="Palatino Linotype" w:hAnsi="Palatino Linotype" w:cs="Arial"/>
          <w:sz w:val="28"/>
          <w:szCs w:val="28"/>
        </w:rPr>
        <w:t xml:space="preserve">se programó una meta en el Sistema de Gestión Financiera (SIGEF) una cantidad de 25 inspecciones para el trimestre T2 y la cantidad lograda al cierre del semestre fue de un 20% por encima; </w:t>
      </w:r>
      <w:r w:rsidRPr="00EE1E00">
        <w:rPr>
          <w:rFonts w:ascii="Palatino Linotype" w:hAnsi="Palatino Linotype" w:cs="Arial"/>
          <w:sz w:val="28"/>
          <w:szCs w:val="28"/>
        </w:rPr>
        <w:t xml:space="preserve">alcanzando un logro de </w:t>
      </w:r>
      <w:r>
        <w:rPr>
          <w:rFonts w:ascii="Palatino Linotype" w:hAnsi="Palatino Linotype" w:cs="Arial"/>
          <w:sz w:val="28"/>
          <w:szCs w:val="28"/>
        </w:rPr>
        <w:t xml:space="preserve">30 </w:t>
      </w:r>
      <w:r w:rsidRPr="00EE1E00">
        <w:rPr>
          <w:rFonts w:ascii="Palatino Linotype" w:hAnsi="Palatino Linotype" w:cs="Arial"/>
          <w:sz w:val="28"/>
          <w:szCs w:val="28"/>
        </w:rPr>
        <w:t xml:space="preserve">inspecciones </w:t>
      </w:r>
      <w:r>
        <w:rPr>
          <w:rFonts w:ascii="Palatino Linotype" w:hAnsi="Palatino Linotype" w:cs="Arial"/>
          <w:sz w:val="28"/>
          <w:szCs w:val="28"/>
        </w:rPr>
        <w:t>en total</w:t>
      </w:r>
      <w:r w:rsidRPr="00EE1E00">
        <w:rPr>
          <w:rFonts w:ascii="Palatino Linotype" w:hAnsi="Palatino Linotype" w:cs="Arial"/>
          <w:sz w:val="28"/>
          <w:szCs w:val="28"/>
        </w:rPr>
        <w:t xml:space="preserve"> (Ver gráfico </w:t>
      </w:r>
      <w:r>
        <w:rPr>
          <w:rFonts w:ascii="Palatino Linotype" w:hAnsi="Palatino Linotype" w:cs="Arial"/>
          <w:sz w:val="28"/>
          <w:szCs w:val="28"/>
        </w:rPr>
        <w:t>2</w:t>
      </w:r>
      <w:r w:rsidRPr="00EE1E00">
        <w:rPr>
          <w:rFonts w:ascii="Palatino Linotype" w:hAnsi="Palatino Linotype" w:cs="Arial"/>
          <w:sz w:val="28"/>
          <w:szCs w:val="28"/>
        </w:rPr>
        <w:t>).</w:t>
      </w:r>
    </w:p>
    <w:p w14:paraId="064433F5" w14:textId="77777777" w:rsidR="00FA6981" w:rsidRDefault="00FA6981" w:rsidP="00FA6981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0189F215" w14:textId="77777777" w:rsidR="00FA6981" w:rsidRDefault="00FA6981" w:rsidP="00FA6981">
      <w:pPr>
        <w:spacing w:line="240" w:lineRule="auto"/>
        <w:jc w:val="center"/>
        <w:rPr>
          <w:rFonts w:ascii="Palatino Linotype" w:hAnsi="Palatino Linotype"/>
          <w:sz w:val="28"/>
          <w:szCs w:val="28"/>
        </w:rPr>
      </w:pPr>
      <w:r>
        <w:rPr>
          <w:noProof/>
        </w:rPr>
        <w:drawing>
          <wp:inline distT="0" distB="0" distL="0" distR="0" wp14:anchorId="0DBAE82F" wp14:editId="5669FD68">
            <wp:extent cx="4219575" cy="2238375"/>
            <wp:effectExtent l="0" t="0" r="9525" b="952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7F672F1-91B0-4AF9-93DF-AB0C5D0E2D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18CC53" w14:textId="77777777" w:rsidR="00FA6981" w:rsidRPr="00E268D6" w:rsidRDefault="00FA6981" w:rsidP="00FA6981">
      <w:pPr>
        <w:spacing w:line="240" w:lineRule="auto"/>
        <w:jc w:val="center"/>
        <w:rPr>
          <w:rFonts w:ascii="Palatino Linotype" w:hAnsi="Palatino Linotype"/>
          <w:sz w:val="18"/>
          <w:szCs w:val="18"/>
        </w:rPr>
      </w:pPr>
      <w:r w:rsidRPr="00E268D6">
        <w:rPr>
          <w:rFonts w:ascii="Palatino Linotype" w:hAnsi="Palatino Linotype"/>
          <w:sz w:val="18"/>
          <w:szCs w:val="18"/>
        </w:rPr>
        <w:t>Fuente: Departamento de Fiscalización y Control de Incentivos</w:t>
      </w:r>
    </w:p>
    <w:p w14:paraId="094A9821" w14:textId="5C24E730" w:rsidR="00FA6981" w:rsidRPr="00326BCB" w:rsidRDefault="00FA6981" w:rsidP="00FA6981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 w:rsidRPr="00326BCB">
        <w:rPr>
          <w:rFonts w:ascii="Palatino Linotype" w:hAnsi="Palatino Linotype"/>
          <w:sz w:val="28"/>
          <w:szCs w:val="28"/>
        </w:rPr>
        <w:t xml:space="preserve">Es importante destacar que se ha alcanzado la meta sobre la cantidad de </w:t>
      </w:r>
      <w:r w:rsidR="00326BCB">
        <w:rPr>
          <w:rFonts w:ascii="Palatino Linotype" w:hAnsi="Palatino Linotype"/>
          <w:sz w:val="28"/>
          <w:szCs w:val="28"/>
        </w:rPr>
        <w:t>solicitudes de exoneraciones tramita</w:t>
      </w:r>
      <w:r w:rsidRPr="00326BCB">
        <w:rPr>
          <w:rFonts w:ascii="Palatino Linotype" w:hAnsi="Palatino Linotype"/>
          <w:sz w:val="28"/>
          <w:szCs w:val="28"/>
        </w:rPr>
        <w:t xml:space="preserve">das </w:t>
      </w:r>
      <w:r w:rsidR="00D8736D">
        <w:rPr>
          <w:rFonts w:ascii="Palatino Linotype" w:hAnsi="Palatino Linotype"/>
          <w:sz w:val="28"/>
          <w:szCs w:val="28"/>
        </w:rPr>
        <w:t xml:space="preserve">por el Departamento de Control de Incentivos y Fiscalización </w:t>
      </w:r>
      <w:r w:rsidRPr="00326BCB">
        <w:rPr>
          <w:rFonts w:ascii="Palatino Linotype" w:hAnsi="Palatino Linotype"/>
          <w:sz w:val="28"/>
          <w:szCs w:val="28"/>
        </w:rPr>
        <w:t>para un total de 1</w:t>
      </w:r>
      <w:r w:rsidR="00B07697" w:rsidRPr="00326BCB">
        <w:rPr>
          <w:rFonts w:ascii="Palatino Linotype" w:hAnsi="Palatino Linotype"/>
          <w:sz w:val="28"/>
          <w:szCs w:val="28"/>
        </w:rPr>
        <w:t>28</w:t>
      </w:r>
      <w:r w:rsidRPr="00326BCB">
        <w:rPr>
          <w:rFonts w:ascii="Palatino Linotype" w:hAnsi="Palatino Linotype"/>
          <w:sz w:val="28"/>
          <w:szCs w:val="28"/>
        </w:rPr>
        <w:t xml:space="preserve"> </w:t>
      </w:r>
      <w:r w:rsidR="00D8736D">
        <w:rPr>
          <w:rFonts w:ascii="Palatino Linotype" w:hAnsi="Palatino Linotype"/>
          <w:sz w:val="28"/>
          <w:szCs w:val="28"/>
        </w:rPr>
        <w:t>solicitudes No Objetadas para trámite de exoneración</w:t>
      </w:r>
      <w:r w:rsidRPr="00326BCB">
        <w:rPr>
          <w:rFonts w:ascii="Palatino Linotype" w:hAnsi="Palatino Linotype"/>
          <w:sz w:val="28"/>
          <w:szCs w:val="28"/>
        </w:rPr>
        <w:t>.</w:t>
      </w:r>
    </w:p>
    <w:p w14:paraId="514EA4B8" w14:textId="52905C55" w:rsidR="00082C9F" w:rsidRDefault="00104E5D" w:rsidP="00CA4BA6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Se </w:t>
      </w:r>
      <w:r w:rsidR="00F5288D">
        <w:rPr>
          <w:rFonts w:ascii="Palatino Linotype" w:hAnsi="Palatino Linotype"/>
          <w:sz w:val="28"/>
          <w:szCs w:val="28"/>
        </w:rPr>
        <w:t>encuentran “en ejecución”</w:t>
      </w:r>
      <w:r>
        <w:rPr>
          <w:rFonts w:ascii="Palatino Linotype" w:hAnsi="Palatino Linotype"/>
          <w:sz w:val="28"/>
          <w:szCs w:val="28"/>
        </w:rPr>
        <w:t xml:space="preserve"> actividades como:</w:t>
      </w:r>
      <w:r w:rsidR="00F5288D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la articulación de acciones para la formulación y puesta en marcha el programa de becas de grado y técnicas en la zona fronteriza,</w:t>
      </w:r>
      <w:r w:rsidR="00F855E3">
        <w:rPr>
          <w:rFonts w:ascii="Palatino Linotype" w:hAnsi="Palatino Linotype"/>
          <w:sz w:val="28"/>
          <w:szCs w:val="28"/>
        </w:rPr>
        <w:t xml:space="preserve"> mediante el acercamiento que ha realizado la Institución a otras organizaciones como ITLA y MESCYT para la coordinación en la entrega de becas a ciudadanos fronterizos</w:t>
      </w:r>
      <w:r w:rsidR="00037132">
        <w:rPr>
          <w:rFonts w:ascii="Palatino Linotype" w:hAnsi="Palatino Linotype"/>
          <w:sz w:val="28"/>
          <w:szCs w:val="28"/>
        </w:rPr>
        <w:t xml:space="preserve">; así como también, se </w:t>
      </w:r>
      <w:r w:rsidR="00082C9F">
        <w:rPr>
          <w:rFonts w:ascii="Palatino Linotype" w:hAnsi="Palatino Linotype"/>
          <w:sz w:val="28"/>
          <w:szCs w:val="28"/>
        </w:rPr>
        <w:t xml:space="preserve">encuentra en proceso </w:t>
      </w:r>
      <w:r w:rsidR="00037132">
        <w:rPr>
          <w:rFonts w:ascii="Palatino Linotype" w:hAnsi="Palatino Linotype"/>
          <w:sz w:val="28"/>
          <w:szCs w:val="28"/>
        </w:rPr>
        <w:t>la</w:t>
      </w:r>
      <w:r w:rsidR="00082C9F">
        <w:rPr>
          <w:rFonts w:ascii="Palatino Linotype" w:hAnsi="Palatino Linotype"/>
          <w:sz w:val="28"/>
          <w:szCs w:val="28"/>
        </w:rPr>
        <w:t xml:space="preserve"> elaboración de las estadísticas sobre el desempeño socio-económico de las empresas amparadas bajo la Ley de Desarrollo Fronterizo</w:t>
      </w:r>
      <w:r w:rsidR="00037132">
        <w:rPr>
          <w:rFonts w:ascii="Palatino Linotype" w:hAnsi="Palatino Linotype"/>
          <w:sz w:val="28"/>
          <w:szCs w:val="28"/>
        </w:rPr>
        <w:t xml:space="preserve"> por parte del Departamento de Evaluación y Clasificación de Proyectos del CCDF.</w:t>
      </w:r>
    </w:p>
    <w:p w14:paraId="43FC4C76" w14:textId="63D6DADE" w:rsidR="00CA4BA6" w:rsidRDefault="00F855E3" w:rsidP="00CA4BA6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Dentro de las actividades no logradas</w:t>
      </w:r>
      <w:r w:rsidR="00BA5DC5">
        <w:rPr>
          <w:rFonts w:ascii="Palatino Linotype" w:hAnsi="Palatino Linotype"/>
          <w:sz w:val="28"/>
          <w:szCs w:val="28"/>
        </w:rPr>
        <w:t xml:space="preserve"> </w:t>
      </w:r>
      <w:r w:rsidR="00D8736D">
        <w:rPr>
          <w:rFonts w:ascii="Palatino Linotype" w:hAnsi="Palatino Linotype"/>
          <w:sz w:val="28"/>
          <w:szCs w:val="28"/>
        </w:rPr>
        <w:t xml:space="preserve">en este Eje 1 durante el segundo trimestre 2022 </w:t>
      </w:r>
      <w:r w:rsidR="00BA5DC5">
        <w:rPr>
          <w:rFonts w:ascii="Palatino Linotype" w:hAnsi="Palatino Linotype"/>
          <w:sz w:val="28"/>
          <w:szCs w:val="28"/>
        </w:rPr>
        <w:t xml:space="preserve">corresponden a acciones que </w:t>
      </w:r>
      <w:r w:rsidR="00F5288D">
        <w:rPr>
          <w:rFonts w:ascii="Palatino Linotype" w:hAnsi="Palatino Linotype"/>
          <w:sz w:val="28"/>
          <w:szCs w:val="28"/>
        </w:rPr>
        <w:t xml:space="preserve">requieren la aprobación del </w:t>
      </w:r>
      <w:r w:rsidR="00F5288D">
        <w:rPr>
          <w:rFonts w:ascii="Palatino Linotype" w:hAnsi="Palatino Linotype"/>
          <w:sz w:val="28"/>
          <w:szCs w:val="28"/>
        </w:rPr>
        <w:lastRenderedPageBreak/>
        <w:t>Pleno de este Consejo.</w:t>
      </w:r>
      <w:r w:rsidR="00BA5DC5">
        <w:rPr>
          <w:rFonts w:ascii="Palatino Linotype" w:hAnsi="Palatino Linotype"/>
          <w:sz w:val="28"/>
          <w:szCs w:val="28"/>
        </w:rPr>
        <w:t xml:space="preserve"> Es importante destacar que el Pleno ya fue juramentado y puesto en posesión durante este Trimestre y ha sesionado en otras 2 ocasiones para los fines de organización de los procesos para la recepción de nuevos proyectos y su posible clasificación al régimen de </w:t>
      </w:r>
      <w:r w:rsidR="0089215C">
        <w:rPr>
          <w:rFonts w:ascii="Palatino Linotype" w:hAnsi="Palatino Linotype"/>
          <w:sz w:val="28"/>
          <w:szCs w:val="28"/>
        </w:rPr>
        <w:t xml:space="preserve">otorgamiento de </w:t>
      </w:r>
      <w:r w:rsidR="00BA5DC5">
        <w:rPr>
          <w:rFonts w:ascii="Palatino Linotype" w:hAnsi="Palatino Linotype"/>
          <w:sz w:val="28"/>
          <w:szCs w:val="28"/>
        </w:rPr>
        <w:t>incentivos fiscales.</w:t>
      </w:r>
    </w:p>
    <w:p w14:paraId="79D441BE" w14:textId="426C1087" w:rsidR="00AE755C" w:rsidRPr="00AE755C" w:rsidRDefault="00372954" w:rsidP="00CA4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Por </w:t>
      </w:r>
      <w:r w:rsidR="00D8736D">
        <w:rPr>
          <w:rFonts w:ascii="Palatino Linotype" w:hAnsi="Palatino Linotype"/>
          <w:sz w:val="28"/>
          <w:szCs w:val="28"/>
        </w:rPr>
        <w:t>lo que</w:t>
      </w:r>
      <w:r>
        <w:rPr>
          <w:rFonts w:ascii="Palatino Linotype" w:hAnsi="Palatino Linotype"/>
          <w:sz w:val="28"/>
          <w:szCs w:val="28"/>
        </w:rPr>
        <w:t xml:space="preserve"> estimamos que las mismas ya quedarán como “logradas” para el </w:t>
      </w:r>
      <w:r w:rsidR="007F12E0">
        <w:rPr>
          <w:rFonts w:ascii="Palatino Linotype" w:hAnsi="Palatino Linotype"/>
          <w:sz w:val="28"/>
          <w:szCs w:val="28"/>
        </w:rPr>
        <w:t>3er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D8736D">
        <w:rPr>
          <w:rFonts w:ascii="Palatino Linotype" w:hAnsi="Palatino Linotype"/>
          <w:sz w:val="28"/>
          <w:szCs w:val="28"/>
        </w:rPr>
        <w:t xml:space="preserve">y 4to </w:t>
      </w:r>
      <w:r>
        <w:rPr>
          <w:rFonts w:ascii="Palatino Linotype" w:hAnsi="Palatino Linotype"/>
          <w:sz w:val="28"/>
          <w:szCs w:val="28"/>
        </w:rPr>
        <w:t>trimestre</w:t>
      </w:r>
      <w:r w:rsidR="007F12E0">
        <w:rPr>
          <w:rFonts w:ascii="Palatino Linotype" w:hAnsi="Palatino Linotype"/>
          <w:sz w:val="28"/>
          <w:szCs w:val="28"/>
        </w:rPr>
        <w:t xml:space="preserve"> del</w:t>
      </w:r>
      <w:r>
        <w:rPr>
          <w:rFonts w:ascii="Palatino Linotype" w:hAnsi="Palatino Linotype"/>
          <w:sz w:val="28"/>
          <w:szCs w:val="28"/>
        </w:rPr>
        <w:t xml:space="preserve"> 2022.</w:t>
      </w:r>
    </w:p>
    <w:p w14:paraId="56C2A401" w14:textId="02E7EA08" w:rsidR="00CA4BA6" w:rsidRDefault="00F5288D" w:rsidP="00CA4BA6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En el siguiente gráfico</w:t>
      </w:r>
      <w:r w:rsidR="00EA21E7">
        <w:rPr>
          <w:rFonts w:ascii="Palatino Linotype" w:hAnsi="Palatino Linotype"/>
          <w:sz w:val="28"/>
          <w:szCs w:val="28"/>
        </w:rPr>
        <w:t xml:space="preserve"> se muestra </w:t>
      </w:r>
      <w:r w:rsidR="004D47D3">
        <w:rPr>
          <w:rFonts w:ascii="Palatino Linotype" w:hAnsi="Palatino Linotype"/>
          <w:sz w:val="28"/>
          <w:szCs w:val="28"/>
        </w:rPr>
        <w:t>el desempeño de las actividades programadas para este Eje</w:t>
      </w:r>
      <w:r w:rsidR="00EA21E7">
        <w:rPr>
          <w:rFonts w:ascii="Palatino Linotype" w:hAnsi="Palatino Linotype"/>
          <w:sz w:val="28"/>
          <w:szCs w:val="28"/>
        </w:rPr>
        <w:t>.</w:t>
      </w:r>
    </w:p>
    <w:p w14:paraId="1609F712" w14:textId="131B6F0F" w:rsidR="007B30C7" w:rsidRDefault="007B30C7" w:rsidP="00CA4BA6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08FD3E32" w14:textId="1302B5AA" w:rsidR="00CA4BA6" w:rsidRDefault="00CA4BA6" w:rsidP="00CA4BA6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Gráfico No.1</w:t>
      </w:r>
      <w:r w:rsidR="00886735" w:rsidRPr="00886735">
        <w:rPr>
          <w:noProof/>
        </w:rPr>
        <w:t xml:space="preserve"> </w:t>
      </w:r>
    </w:p>
    <w:p w14:paraId="3942D5E8" w14:textId="27EF920A" w:rsidR="00CA4BA6" w:rsidRDefault="00902EC1" w:rsidP="00EA21E7">
      <w:pPr>
        <w:spacing w:line="240" w:lineRule="auto"/>
        <w:jc w:val="center"/>
        <w:rPr>
          <w:rFonts w:ascii="Palatino Linotype" w:hAnsi="Palatino Linotype"/>
          <w:sz w:val="28"/>
          <w:szCs w:val="28"/>
        </w:rPr>
      </w:pPr>
      <w:r w:rsidRPr="00902EC1">
        <w:rPr>
          <w:noProof/>
        </w:rPr>
        <w:t xml:space="preserve"> </w:t>
      </w:r>
      <w:r w:rsidR="006C650E">
        <w:rPr>
          <w:noProof/>
        </w:rPr>
        <w:drawing>
          <wp:inline distT="0" distB="0" distL="0" distR="0" wp14:anchorId="2CE5ECD1" wp14:editId="38320513">
            <wp:extent cx="3419475" cy="2933700"/>
            <wp:effectExtent l="0" t="0" r="9525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FEF402A5-5D9A-40F6-8690-391201CE13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068A607" w14:textId="77777777" w:rsidR="00D8736D" w:rsidRDefault="00D8736D" w:rsidP="00CA4BA6">
      <w:pPr>
        <w:spacing w:line="240" w:lineRule="auto"/>
        <w:jc w:val="both"/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</w:pPr>
    </w:p>
    <w:p w14:paraId="57100623" w14:textId="46C2F61E" w:rsidR="004D47D3" w:rsidRPr="00110E00" w:rsidRDefault="004D47D3" w:rsidP="00CA4BA6">
      <w:pPr>
        <w:spacing w:line="240" w:lineRule="auto"/>
        <w:jc w:val="both"/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</w:pPr>
      <w:r w:rsidRPr="00110E00"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t>Ejecución del POA (Eje 2):</w:t>
      </w:r>
    </w:p>
    <w:p w14:paraId="70E75EC6" w14:textId="77777777" w:rsidR="00BA34C8" w:rsidRDefault="00BA34C8" w:rsidP="00BA34C8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Este Eje comprende actividades para el fortalecimiento de la imagen Institucional con el objetivo de asegurar la calidad y el mejoramiento de la gestión y desempeño institucional.</w:t>
      </w:r>
    </w:p>
    <w:p w14:paraId="127DFF2D" w14:textId="5F6C56D7" w:rsidR="004D47D3" w:rsidRDefault="004D47D3" w:rsidP="00CA4BA6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Con un total de </w:t>
      </w:r>
      <w:r w:rsidR="005B475F">
        <w:rPr>
          <w:rFonts w:ascii="Palatino Linotype" w:hAnsi="Palatino Linotype"/>
          <w:sz w:val="28"/>
          <w:szCs w:val="28"/>
        </w:rPr>
        <w:t>4</w:t>
      </w:r>
      <w:r w:rsidR="00345374">
        <w:rPr>
          <w:rFonts w:ascii="Palatino Linotype" w:hAnsi="Palatino Linotype"/>
          <w:sz w:val="28"/>
          <w:szCs w:val="28"/>
        </w:rPr>
        <w:t>6</w:t>
      </w:r>
      <w:r>
        <w:rPr>
          <w:rFonts w:ascii="Palatino Linotype" w:hAnsi="Palatino Linotype"/>
          <w:sz w:val="28"/>
          <w:szCs w:val="28"/>
        </w:rPr>
        <w:t xml:space="preserve"> act</w:t>
      </w:r>
      <w:r w:rsidR="00110E00">
        <w:rPr>
          <w:rFonts w:ascii="Palatino Linotype" w:hAnsi="Palatino Linotype"/>
          <w:sz w:val="28"/>
          <w:szCs w:val="28"/>
        </w:rPr>
        <w:t>i</w:t>
      </w:r>
      <w:r>
        <w:rPr>
          <w:rFonts w:ascii="Palatino Linotype" w:hAnsi="Palatino Linotype"/>
          <w:sz w:val="28"/>
          <w:szCs w:val="28"/>
        </w:rPr>
        <w:t xml:space="preserve">vidades programadas para este Eje en el </w:t>
      </w:r>
      <w:r w:rsidR="00A53972">
        <w:rPr>
          <w:rFonts w:ascii="Palatino Linotype" w:hAnsi="Palatino Linotype"/>
          <w:sz w:val="28"/>
          <w:szCs w:val="28"/>
        </w:rPr>
        <w:t>segundo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BA4F81">
        <w:rPr>
          <w:rFonts w:ascii="Palatino Linotype" w:hAnsi="Palatino Linotype"/>
          <w:sz w:val="28"/>
          <w:szCs w:val="28"/>
        </w:rPr>
        <w:t>tri</w:t>
      </w:r>
      <w:r>
        <w:rPr>
          <w:rFonts w:ascii="Palatino Linotype" w:hAnsi="Palatino Linotype"/>
          <w:sz w:val="28"/>
          <w:szCs w:val="28"/>
        </w:rPr>
        <w:t>mestre del año 202</w:t>
      </w:r>
      <w:r w:rsidR="00BA4F81">
        <w:rPr>
          <w:rFonts w:ascii="Palatino Linotype" w:hAnsi="Palatino Linotype"/>
          <w:sz w:val="28"/>
          <w:szCs w:val="28"/>
        </w:rPr>
        <w:t>2</w:t>
      </w:r>
      <w:r>
        <w:rPr>
          <w:rFonts w:ascii="Palatino Linotype" w:hAnsi="Palatino Linotype"/>
          <w:sz w:val="28"/>
          <w:szCs w:val="28"/>
        </w:rPr>
        <w:t>, este es el resumen logrado</w:t>
      </w:r>
      <w:r w:rsidR="00110E00">
        <w:rPr>
          <w:rFonts w:ascii="Palatino Linotype" w:hAnsi="Palatino Linotype"/>
          <w:sz w:val="28"/>
          <w:szCs w:val="28"/>
        </w:rPr>
        <w:t xml:space="preserve"> (Ver Tabla No.3)</w:t>
      </w:r>
      <w:r>
        <w:rPr>
          <w:rFonts w:ascii="Palatino Linotype" w:hAnsi="Palatino Linotype"/>
          <w:sz w:val="28"/>
          <w:szCs w:val="28"/>
        </w:rPr>
        <w:t>:</w:t>
      </w:r>
    </w:p>
    <w:p w14:paraId="0D106A4D" w14:textId="52BBAC57" w:rsidR="00110E00" w:rsidRDefault="00110E00" w:rsidP="00CA4BA6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Tabla No. 3</w:t>
      </w:r>
    </w:p>
    <w:tbl>
      <w:tblPr>
        <w:tblW w:w="2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40"/>
      </w:tblGrid>
      <w:tr w:rsidR="004D47D3" w:rsidRPr="00C169EF" w14:paraId="685F3A01" w14:textId="77777777" w:rsidTr="003E06F0">
        <w:trPr>
          <w:trHeight w:val="31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1C1C1C96" w14:textId="77777777" w:rsidR="004D47D3" w:rsidRPr="00C169EF" w:rsidRDefault="004D47D3" w:rsidP="003E06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Estatus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7D816727" w14:textId="77777777" w:rsidR="004D47D3" w:rsidRPr="00C169EF" w:rsidRDefault="004D47D3" w:rsidP="003E06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No. Actividades</w:t>
            </w:r>
          </w:p>
        </w:tc>
      </w:tr>
      <w:tr w:rsidR="004D47D3" w:rsidRPr="00C169EF" w14:paraId="08426EE5" w14:textId="77777777" w:rsidTr="003E0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580" w14:textId="77777777" w:rsidR="004D47D3" w:rsidRPr="00C169EF" w:rsidRDefault="004D47D3" w:rsidP="003E0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color w:val="000000"/>
                <w:lang w:eastAsia="es-DO"/>
              </w:rPr>
              <w:t>No iniciado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3E2A0DF" w14:textId="0E44B877" w:rsidR="004D47D3" w:rsidRPr="00C169EF" w:rsidRDefault="00E35EF8" w:rsidP="003E06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08</w:t>
            </w:r>
          </w:p>
        </w:tc>
      </w:tr>
      <w:tr w:rsidR="004D47D3" w:rsidRPr="00C169EF" w14:paraId="6FE37F1A" w14:textId="77777777" w:rsidTr="003E0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FF89" w14:textId="77777777" w:rsidR="004D47D3" w:rsidRPr="00C169EF" w:rsidRDefault="004D47D3" w:rsidP="003E0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color w:val="000000"/>
                <w:lang w:eastAsia="es-DO"/>
              </w:rPr>
              <w:t>En proceso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EC1B64" w14:textId="36BF6849" w:rsidR="004D47D3" w:rsidRPr="00C169EF" w:rsidRDefault="00E35EF8" w:rsidP="003E06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  <w:r w:rsidR="00A1122B"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</w:tr>
      <w:tr w:rsidR="004D47D3" w:rsidRPr="00C169EF" w14:paraId="79B0A62C" w14:textId="77777777" w:rsidTr="003E06F0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F5FF" w14:textId="77777777" w:rsidR="004D47D3" w:rsidRPr="00C169EF" w:rsidRDefault="004D47D3" w:rsidP="003E0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169EF">
              <w:rPr>
                <w:rFonts w:ascii="Calibri" w:eastAsia="Times New Roman" w:hAnsi="Calibri" w:cs="Times New Roman"/>
                <w:color w:val="000000"/>
                <w:lang w:eastAsia="es-DO"/>
              </w:rPr>
              <w:t>Logrado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EDCDA53" w14:textId="008FED7B" w:rsidR="004D47D3" w:rsidRPr="00C169EF" w:rsidRDefault="00345374" w:rsidP="003E06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29</w:t>
            </w:r>
          </w:p>
        </w:tc>
      </w:tr>
    </w:tbl>
    <w:p w14:paraId="3FF49477" w14:textId="77777777" w:rsidR="0073615D" w:rsidRDefault="0073615D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5A4864AA" w14:textId="20088790" w:rsidR="0073615D" w:rsidRDefault="00854A6A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En este </w:t>
      </w:r>
      <w:r w:rsidR="00A1122B">
        <w:rPr>
          <w:rFonts w:ascii="Palatino Linotype" w:hAnsi="Palatino Linotype"/>
          <w:sz w:val="28"/>
          <w:szCs w:val="28"/>
        </w:rPr>
        <w:t>segundo</w:t>
      </w:r>
      <w:r w:rsidR="0073615D">
        <w:rPr>
          <w:rFonts w:ascii="Palatino Linotype" w:hAnsi="Palatino Linotype"/>
          <w:sz w:val="28"/>
          <w:szCs w:val="28"/>
        </w:rPr>
        <w:t xml:space="preserve"> trimestre </w:t>
      </w:r>
      <w:r>
        <w:rPr>
          <w:rFonts w:ascii="Palatino Linotype" w:hAnsi="Palatino Linotype"/>
          <w:sz w:val="28"/>
          <w:szCs w:val="28"/>
        </w:rPr>
        <w:t xml:space="preserve">se </w:t>
      </w:r>
      <w:r w:rsidR="00AB7D14">
        <w:rPr>
          <w:rFonts w:ascii="Palatino Linotype" w:hAnsi="Palatino Linotype"/>
          <w:sz w:val="28"/>
          <w:szCs w:val="28"/>
        </w:rPr>
        <w:t xml:space="preserve">ha incrementado </w:t>
      </w:r>
      <w:r w:rsidR="0073615D">
        <w:rPr>
          <w:rFonts w:ascii="Palatino Linotype" w:hAnsi="Palatino Linotype"/>
          <w:sz w:val="28"/>
          <w:szCs w:val="28"/>
        </w:rPr>
        <w:t>el número de inversionistas asesorados sobre el nuevo marco regulatorio Ley 12-21 y su reglamento de aplicación</w:t>
      </w:r>
      <w:r w:rsidR="00106D4D">
        <w:rPr>
          <w:rFonts w:ascii="Palatino Linotype" w:hAnsi="Palatino Linotype"/>
          <w:sz w:val="28"/>
          <w:szCs w:val="28"/>
        </w:rPr>
        <w:t>,</w:t>
      </w:r>
      <w:r w:rsidR="0073615D">
        <w:rPr>
          <w:rFonts w:ascii="Palatino Linotype" w:hAnsi="Palatino Linotype"/>
          <w:sz w:val="28"/>
          <w:szCs w:val="28"/>
        </w:rPr>
        <w:t xml:space="preserve"> con un total de </w:t>
      </w:r>
      <w:r w:rsidR="006D53F1">
        <w:rPr>
          <w:rFonts w:ascii="Palatino Linotype" w:hAnsi="Palatino Linotype"/>
          <w:sz w:val="28"/>
          <w:szCs w:val="28"/>
        </w:rPr>
        <w:t>44</w:t>
      </w:r>
      <w:r w:rsidR="0073615D">
        <w:rPr>
          <w:rFonts w:ascii="Palatino Linotype" w:hAnsi="Palatino Linotype"/>
          <w:sz w:val="28"/>
          <w:szCs w:val="28"/>
        </w:rPr>
        <w:t xml:space="preserve"> futuros inversionistas asesorados</w:t>
      </w:r>
      <w:r w:rsidR="001659A2">
        <w:rPr>
          <w:rFonts w:ascii="Palatino Linotype" w:hAnsi="Palatino Linotype"/>
          <w:sz w:val="28"/>
          <w:szCs w:val="28"/>
        </w:rPr>
        <w:t xml:space="preserve"> </w:t>
      </w:r>
      <w:r w:rsidR="00106D4D">
        <w:rPr>
          <w:rFonts w:ascii="Palatino Linotype" w:hAnsi="Palatino Linotype"/>
          <w:sz w:val="28"/>
          <w:szCs w:val="28"/>
        </w:rPr>
        <w:t>en el trimestre</w:t>
      </w:r>
      <w:r w:rsidR="001659A2">
        <w:rPr>
          <w:rFonts w:ascii="Palatino Linotype" w:hAnsi="Palatino Linotype"/>
          <w:sz w:val="28"/>
          <w:szCs w:val="28"/>
        </w:rPr>
        <w:t xml:space="preserve"> </w:t>
      </w:r>
      <w:r w:rsidR="00A1122B">
        <w:rPr>
          <w:rFonts w:ascii="Palatino Linotype" w:hAnsi="Palatino Linotype"/>
          <w:sz w:val="28"/>
          <w:szCs w:val="28"/>
        </w:rPr>
        <w:t>abril-junio</w:t>
      </w:r>
      <w:r w:rsidR="001659A2">
        <w:rPr>
          <w:rFonts w:ascii="Palatino Linotype" w:hAnsi="Palatino Linotype"/>
          <w:sz w:val="28"/>
          <w:szCs w:val="28"/>
        </w:rPr>
        <w:t xml:space="preserve"> 2022</w:t>
      </w:r>
      <w:r w:rsidR="002A56D6">
        <w:rPr>
          <w:rFonts w:ascii="Palatino Linotype" w:hAnsi="Palatino Linotype"/>
          <w:sz w:val="28"/>
          <w:szCs w:val="28"/>
        </w:rPr>
        <w:t>, así como también la realización de talleres para promocionar y dar a conocer las novedades del nuevo régimen de Desarrollo Fronterizo.</w:t>
      </w:r>
    </w:p>
    <w:p w14:paraId="3C3D331D" w14:textId="38FC770F" w:rsidR="00654E2E" w:rsidRDefault="00106D4D" w:rsidP="002770B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Es i</w:t>
      </w:r>
      <w:r w:rsidR="00432E0A">
        <w:rPr>
          <w:rFonts w:ascii="Palatino Linotype" w:hAnsi="Palatino Linotype"/>
          <w:sz w:val="28"/>
          <w:szCs w:val="28"/>
        </w:rPr>
        <w:t xml:space="preserve">mportante señalar </w:t>
      </w:r>
      <w:r>
        <w:rPr>
          <w:rFonts w:ascii="Palatino Linotype" w:hAnsi="Palatino Linotype"/>
          <w:sz w:val="28"/>
          <w:szCs w:val="28"/>
        </w:rPr>
        <w:t xml:space="preserve">que </w:t>
      </w:r>
      <w:r w:rsidR="00432E0A">
        <w:rPr>
          <w:rFonts w:ascii="Palatino Linotype" w:hAnsi="Palatino Linotype"/>
          <w:sz w:val="28"/>
          <w:szCs w:val="28"/>
        </w:rPr>
        <w:t xml:space="preserve">los trabajos ejecutados por el </w:t>
      </w:r>
      <w:r w:rsidR="00854A6A">
        <w:rPr>
          <w:rFonts w:ascii="Palatino Linotype" w:hAnsi="Palatino Linotype"/>
          <w:sz w:val="28"/>
          <w:szCs w:val="28"/>
        </w:rPr>
        <w:t xml:space="preserve">Comité de </w:t>
      </w:r>
      <w:r w:rsidR="00F13150">
        <w:rPr>
          <w:rFonts w:ascii="Palatino Linotype" w:hAnsi="Palatino Linotype"/>
          <w:sz w:val="28"/>
          <w:szCs w:val="28"/>
        </w:rPr>
        <w:t>Calidad</w:t>
      </w:r>
      <w:r w:rsidR="002770B0">
        <w:rPr>
          <w:rFonts w:ascii="Palatino Linotype" w:hAnsi="Palatino Linotype"/>
          <w:sz w:val="28"/>
          <w:szCs w:val="28"/>
        </w:rPr>
        <w:t xml:space="preserve"> del CCDF</w:t>
      </w:r>
      <w:r w:rsidR="00F13150">
        <w:rPr>
          <w:rFonts w:ascii="Palatino Linotype" w:hAnsi="Palatino Linotype"/>
          <w:sz w:val="28"/>
          <w:szCs w:val="28"/>
        </w:rPr>
        <w:t xml:space="preserve"> dado fiel cumplimiento a sus tareas de</w:t>
      </w:r>
      <w:r w:rsidR="002770B0">
        <w:rPr>
          <w:rFonts w:ascii="Palatino Linotype" w:hAnsi="Palatino Linotype"/>
          <w:sz w:val="28"/>
          <w:szCs w:val="28"/>
        </w:rPr>
        <w:t xml:space="preserve"> </w:t>
      </w:r>
      <w:r w:rsidR="00854A6A">
        <w:rPr>
          <w:rFonts w:ascii="Palatino Linotype" w:hAnsi="Palatino Linotype"/>
          <w:sz w:val="28"/>
          <w:szCs w:val="28"/>
        </w:rPr>
        <w:t>seguimiento del Plan de Mejora CAF</w:t>
      </w:r>
      <w:r w:rsidR="002770B0">
        <w:rPr>
          <w:rFonts w:ascii="Palatino Linotype" w:hAnsi="Palatino Linotype"/>
          <w:sz w:val="28"/>
          <w:szCs w:val="28"/>
        </w:rPr>
        <w:t xml:space="preserve"> 2022,</w:t>
      </w:r>
      <w:r w:rsidR="00854A6A">
        <w:rPr>
          <w:rFonts w:ascii="Palatino Linotype" w:hAnsi="Palatino Linotype"/>
          <w:sz w:val="28"/>
          <w:szCs w:val="28"/>
        </w:rPr>
        <w:t xml:space="preserve"> </w:t>
      </w:r>
      <w:r w:rsidR="003804E9">
        <w:rPr>
          <w:rFonts w:ascii="Palatino Linotype" w:hAnsi="Palatino Linotype"/>
          <w:sz w:val="28"/>
          <w:szCs w:val="28"/>
        </w:rPr>
        <w:t>el monitoreo constante en SISMAP que</w:t>
      </w:r>
      <w:r w:rsidR="002770B0">
        <w:rPr>
          <w:rFonts w:ascii="Palatino Linotype" w:hAnsi="Palatino Linotype"/>
          <w:sz w:val="28"/>
          <w:szCs w:val="28"/>
        </w:rPr>
        <w:t xml:space="preserve"> cerró el T</w:t>
      </w:r>
      <w:r w:rsidR="00F13150">
        <w:rPr>
          <w:rFonts w:ascii="Palatino Linotype" w:hAnsi="Palatino Linotype"/>
          <w:sz w:val="28"/>
          <w:szCs w:val="28"/>
        </w:rPr>
        <w:t>2</w:t>
      </w:r>
      <w:r w:rsidR="00AA10C0">
        <w:rPr>
          <w:rFonts w:ascii="Palatino Linotype" w:hAnsi="Palatino Linotype"/>
          <w:sz w:val="28"/>
          <w:szCs w:val="28"/>
        </w:rPr>
        <w:t xml:space="preserve"> en 8</w:t>
      </w:r>
      <w:r w:rsidR="00F13150">
        <w:rPr>
          <w:rFonts w:ascii="Palatino Linotype" w:hAnsi="Palatino Linotype"/>
          <w:sz w:val="28"/>
          <w:szCs w:val="28"/>
        </w:rPr>
        <w:t>4</w:t>
      </w:r>
      <w:r w:rsidR="003804E9">
        <w:rPr>
          <w:rFonts w:ascii="Palatino Linotype" w:hAnsi="Palatino Linotype"/>
          <w:sz w:val="28"/>
          <w:szCs w:val="28"/>
        </w:rPr>
        <w:t>% con indicadores que alcanzan un 100% del objetivo logrado como lo son en la Organización del Trabajo</w:t>
      </w:r>
      <w:r w:rsidR="00AA10C0">
        <w:rPr>
          <w:rFonts w:ascii="Palatino Linotype" w:hAnsi="Palatino Linotype"/>
          <w:sz w:val="28"/>
          <w:szCs w:val="28"/>
        </w:rPr>
        <w:t xml:space="preserve"> y la</w:t>
      </w:r>
      <w:r w:rsidR="003804E9">
        <w:rPr>
          <w:rFonts w:ascii="Palatino Linotype" w:hAnsi="Palatino Linotype"/>
          <w:sz w:val="28"/>
          <w:szCs w:val="28"/>
        </w:rPr>
        <w:t xml:space="preserve"> </w:t>
      </w:r>
      <w:r w:rsidR="00AA10C0">
        <w:rPr>
          <w:rFonts w:ascii="Palatino Linotype" w:hAnsi="Palatino Linotype"/>
          <w:sz w:val="28"/>
          <w:szCs w:val="28"/>
        </w:rPr>
        <w:t>Planificación de los Recursos Humanos</w:t>
      </w:r>
      <w:r w:rsidR="003804E9">
        <w:rPr>
          <w:rFonts w:ascii="Palatino Linotype" w:hAnsi="Palatino Linotype"/>
          <w:sz w:val="28"/>
          <w:szCs w:val="28"/>
        </w:rPr>
        <w:t>.</w:t>
      </w:r>
    </w:p>
    <w:p w14:paraId="346F1739" w14:textId="6C006B71" w:rsidR="00FB4474" w:rsidRDefault="00FB4474" w:rsidP="002770B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De igual modo, se realizó en este trimestre la Encuesta de Satisfacción al Ciudadano 2022 que arrojó un 92% de Índice General de Satisfacción de nuestros clientes respecto a los servicios que se ofrecen desde el CCDF.</w:t>
      </w:r>
    </w:p>
    <w:p w14:paraId="1E3D425D" w14:textId="2259802F" w:rsidR="00FA0CD6" w:rsidRDefault="00FA0CD6" w:rsidP="002770B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Así mismo, debemos señalar que recibimos en el mes de </w:t>
      </w:r>
      <w:proofErr w:type="gramStart"/>
      <w:r>
        <w:rPr>
          <w:rFonts w:ascii="Palatino Linotype" w:hAnsi="Palatino Linotype"/>
          <w:sz w:val="28"/>
          <w:szCs w:val="28"/>
        </w:rPr>
        <w:t>Mayo</w:t>
      </w:r>
      <w:proofErr w:type="gramEnd"/>
      <w:r>
        <w:rPr>
          <w:rFonts w:ascii="Palatino Linotype" w:hAnsi="Palatino Linotype"/>
          <w:sz w:val="28"/>
          <w:szCs w:val="28"/>
        </w:rPr>
        <w:t xml:space="preserve"> 2022 por parte de la Dirección General de Presupuesto, la evaluación del Índice de Gestión Presupuestaria arrojando un 88% de cumplimiento al cierre del T1-2022.</w:t>
      </w:r>
    </w:p>
    <w:p w14:paraId="5E975481" w14:textId="0380C7D4" w:rsidR="00FA0CD6" w:rsidRDefault="00FA0CD6" w:rsidP="002770B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Destacamos también, la ejecución de las distintas actividades programadas por la División de Comunicaciones</w:t>
      </w:r>
      <w:r w:rsidR="00D01A19">
        <w:rPr>
          <w:rFonts w:ascii="Palatino Linotype" w:hAnsi="Palatino Linotype"/>
          <w:sz w:val="28"/>
          <w:szCs w:val="28"/>
        </w:rPr>
        <w:t xml:space="preserve"> que han sido alcanzadas en un 100%</w:t>
      </w:r>
      <w:r w:rsidR="006922DB">
        <w:rPr>
          <w:rFonts w:ascii="Palatino Linotype" w:hAnsi="Palatino Linotype"/>
          <w:sz w:val="28"/>
          <w:szCs w:val="28"/>
        </w:rPr>
        <w:t xml:space="preserve"> en cuanto al desarrollo de los distintos planes de comunicación tanto internos como externos programados.</w:t>
      </w:r>
    </w:p>
    <w:p w14:paraId="118DB2B3" w14:textId="53767C06" w:rsidR="00237453" w:rsidRDefault="00237453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 continuación, se presenta la relación de los productos logrados y no logrados por Área responsable (Tabla No.</w:t>
      </w:r>
      <w:r w:rsidR="0035318E">
        <w:rPr>
          <w:rFonts w:ascii="Palatino Linotype" w:hAnsi="Palatino Linotype"/>
          <w:sz w:val="28"/>
          <w:szCs w:val="28"/>
        </w:rPr>
        <w:t>4</w:t>
      </w:r>
      <w:r>
        <w:rPr>
          <w:rFonts w:ascii="Palatino Linotype" w:hAnsi="Palatino Linotype"/>
          <w:sz w:val="28"/>
          <w:szCs w:val="28"/>
        </w:rPr>
        <w:t>):</w:t>
      </w:r>
    </w:p>
    <w:p w14:paraId="5F0F7A38" w14:textId="77777777" w:rsidR="002049C0" w:rsidRDefault="002049C0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72A088CA" w14:textId="6FD0A6A9" w:rsidR="00237453" w:rsidRDefault="0035318E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Tabla No.4</w:t>
      </w: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440"/>
        <w:gridCol w:w="1600"/>
        <w:gridCol w:w="1200"/>
        <w:gridCol w:w="1200"/>
      </w:tblGrid>
      <w:tr w:rsidR="00237453" w:rsidRPr="00237453" w14:paraId="70F0B6BA" w14:textId="77777777" w:rsidTr="0035318E">
        <w:trPr>
          <w:trHeight w:val="780"/>
          <w:jc w:val="center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438ACCA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proofErr w:type="gramStart"/>
            <w:r w:rsidRPr="00237453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DEPARTAMENTO  /</w:t>
            </w:r>
            <w:proofErr w:type="gramEnd"/>
            <w:r w:rsidRPr="00237453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DIVISION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D499681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CANTIDAD DE ACTIVIDADES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B1F9386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EJECUTADAS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56B7285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EN EJECUCION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6150F18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NO INICIADAS</w:t>
            </w:r>
          </w:p>
        </w:tc>
      </w:tr>
      <w:tr w:rsidR="00237453" w:rsidRPr="00237453" w14:paraId="6056A1D9" w14:textId="77777777" w:rsidTr="0035318E">
        <w:trPr>
          <w:trHeight w:val="803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0EA4E" w14:textId="77777777" w:rsidR="00237453" w:rsidRPr="00237453" w:rsidRDefault="00237453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Calidad en Gestión (Planificación y Desarrollo)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991F3" w14:textId="26C8A392" w:rsidR="00237453" w:rsidRPr="00237453" w:rsidRDefault="00DE03C7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0C210" w14:textId="2F985B73" w:rsidR="00237453" w:rsidRPr="00237453" w:rsidRDefault="00DE03C7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1AECA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B4018" w14:textId="3A5C95DF" w:rsidR="00237453" w:rsidRPr="00237453" w:rsidRDefault="00DE03C7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237453" w:rsidRPr="00237453" w14:paraId="7B782FEE" w14:textId="77777777" w:rsidTr="00A02EAA">
        <w:trPr>
          <w:trHeight w:val="635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BE675" w14:textId="77777777" w:rsidR="00237453" w:rsidRPr="00237453" w:rsidRDefault="00237453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División Planificación y Desarrollo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51488" w14:textId="7006691F" w:rsidR="00237453" w:rsidRPr="00237453" w:rsidRDefault="0008477E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19353" w14:textId="62BB8BDA" w:rsidR="00237453" w:rsidRPr="00237453" w:rsidRDefault="00331525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DC2F9" w14:textId="1D71F158" w:rsidR="00237453" w:rsidRPr="00237453" w:rsidRDefault="003443BB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DB2FC" w14:textId="167C0A04" w:rsidR="00237453" w:rsidRPr="00237453" w:rsidRDefault="0008477E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237453" w:rsidRPr="00237453" w14:paraId="794357EF" w14:textId="77777777" w:rsidTr="0035318E">
        <w:trPr>
          <w:trHeight w:val="68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BB1D" w14:textId="5CACED09" w:rsidR="00237453" w:rsidRPr="00237453" w:rsidRDefault="00237453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Depto. </w:t>
            </w:r>
            <w:r w:rsidR="00E82703">
              <w:rPr>
                <w:rFonts w:ascii="Calibri" w:eastAsia="Times New Roman" w:hAnsi="Calibri" w:cs="Times New Roman"/>
                <w:color w:val="000000"/>
                <w:lang w:eastAsia="es-DO"/>
              </w:rPr>
              <w:t>Jurídico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E38E6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9C8F1" w14:textId="4E032EE7" w:rsidR="00237453" w:rsidRPr="00237453" w:rsidRDefault="00E8270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82EC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14225" w14:textId="720E8294" w:rsidR="00237453" w:rsidRPr="00237453" w:rsidRDefault="00E8270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E82703" w:rsidRPr="00237453" w14:paraId="41DB6B85" w14:textId="77777777" w:rsidTr="0035318E">
        <w:trPr>
          <w:trHeight w:val="68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3F35F" w14:textId="6ABFEBD6" w:rsidR="00E82703" w:rsidRPr="00237453" w:rsidRDefault="00E82703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Oficina Regional Norte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C8C1A" w14:textId="56EE2BE0" w:rsidR="00E82703" w:rsidRPr="00237453" w:rsidRDefault="004B3264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7C6BF" w14:textId="0A16203F" w:rsidR="00E82703" w:rsidRDefault="004B3264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04643" w14:textId="0DDFCBA2" w:rsidR="00E82703" w:rsidRPr="00237453" w:rsidRDefault="004B3264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426A6" w14:textId="5D93C8E9" w:rsidR="00E82703" w:rsidRDefault="004B3264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331525" w:rsidRPr="00237453" w14:paraId="7B5606AC" w14:textId="77777777" w:rsidTr="0035318E">
        <w:trPr>
          <w:trHeight w:val="68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2535C" w14:textId="5D1428DE" w:rsidR="00331525" w:rsidRDefault="00331525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Servicios Generales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4C53E" w14:textId="6970A3B7" w:rsidR="00331525" w:rsidRDefault="00331525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FA6AD" w14:textId="21457FDF" w:rsidR="00331525" w:rsidRDefault="00331525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A1BCE" w14:textId="4825EE65" w:rsidR="00331525" w:rsidRDefault="00305AD2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98953" w14:textId="53B8E282" w:rsidR="00331525" w:rsidRDefault="00305AD2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237453" w:rsidRPr="00237453" w14:paraId="034B2717" w14:textId="77777777" w:rsidTr="00A02EAA">
        <w:trPr>
          <w:trHeight w:val="247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6B81" w14:textId="542110F1" w:rsidR="00237453" w:rsidRPr="00237453" w:rsidRDefault="00E82703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Promotores de Ley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5FB20" w14:textId="26582462" w:rsidR="00237453" w:rsidRPr="00237453" w:rsidRDefault="00E8270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FA422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89E50" w14:textId="193E1032" w:rsidR="00237453" w:rsidRPr="00237453" w:rsidRDefault="0008477E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E6DE7" w14:textId="0676894B" w:rsidR="00237453" w:rsidRPr="00237453" w:rsidRDefault="0008477E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237453" w:rsidRPr="00237453" w14:paraId="3D34249E" w14:textId="77777777" w:rsidTr="00A02EAA">
        <w:trPr>
          <w:trHeight w:val="66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4DAE" w14:textId="77777777" w:rsidR="00237453" w:rsidRPr="00237453" w:rsidRDefault="00237453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Comité de Salud y Seguridad en el trabajo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C127B" w14:textId="4F2CBACF" w:rsidR="00237453" w:rsidRPr="00237453" w:rsidRDefault="0008477E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DFCC8" w14:textId="0F576173" w:rsidR="00237453" w:rsidRPr="00237453" w:rsidRDefault="004B3264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7677C" w14:textId="716EAAFA" w:rsidR="00237453" w:rsidRPr="00237453" w:rsidRDefault="0008477E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9F04B" w14:textId="409ED185" w:rsidR="00237453" w:rsidRPr="00237453" w:rsidRDefault="004B3264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237453" w:rsidRPr="00237453" w14:paraId="258F66CB" w14:textId="77777777" w:rsidTr="0035318E">
        <w:trPr>
          <w:trHeight w:val="982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F1396" w14:textId="77777777" w:rsidR="00237453" w:rsidRPr="00237453" w:rsidRDefault="00237453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División Tecnología de la Información y Comunicaciones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F1E43" w14:textId="7C63E2CC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  <w:r w:rsidR="00E81A88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8AFBA" w14:textId="3E9D5B28" w:rsidR="00237453" w:rsidRPr="00237453" w:rsidRDefault="00BE0A72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660A" w14:textId="370464D7" w:rsidR="00237453" w:rsidRPr="00237453" w:rsidRDefault="00BE0A72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3DA9" w14:textId="7CE2FD2F" w:rsidR="00237453" w:rsidRPr="00237453" w:rsidRDefault="00E81A8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237453" w:rsidRPr="00237453" w14:paraId="2AF9163E" w14:textId="77777777" w:rsidTr="00782D1F">
        <w:trPr>
          <w:trHeight w:val="429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750E4" w14:textId="77777777" w:rsidR="00237453" w:rsidRPr="00237453" w:rsidRDefault="00237453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División de Comunicaciones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6F7D2" w14:textId="5D797585" w:rsidR="00237453" w:rsidRPr="00237453" w:rsidRDefault="000D2EFF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E0795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5C63B" w14:textId="31493419" w:rsidR="00237453" w:rsidRPr="00237453" w:rsidRDefault="000D2EFF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29CE0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237453" w:rsidRPr="00237453" w14:paraId="64883A9B" w14:textId="77777777" w:rsidTr="00782D1F">
        <w:trPr>
          <w:trHeight w:val="372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70C56" w14:textId="4C6FC4D7" w:rsidR="00237453" w:rsidRPr="00237453" w:rsidRDefault="00237453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Departamento </w:t>
            </w:r>
            <w:proofErr w:type="spellStart"/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Adm</w:t>
            </w:r>
            <w:proofErr w:type="spellEnd"/>
            <w:r w:rsidR="00C05C14">
              <w:rPr>
                <w:rFonts w:ascii="Calibri" w:eastAsia="Times New Roman" w:hAnsi="Calibri" w:cs="Times New Roman"/>
                <w:color w:val="000000"/>
                <w:lang w:eastAsia="es-DO"/>
              </w:rPr>
              <w:t>.</w:t>
            </w: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y Financiero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1017B" w14:textId="1F855040" w:rsidR="00237453" w:rsidRPr="00237453" w:rsidRDefault="00305AD2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2950A" w14:textId="1600F3BB" w:rsidR="00237453" w:rsidRPr="00237453" w:rsidRDefault="00305AD2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73CE" w14:textId="347294F7" w:rsidR="00237453" w:rsidRPr="00237453" w:rsidRDefault="002E09FC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37124" w14:textId="13A736F5" w:rsidR="00237453" w:rsidRPr="00237453" w:rsidRDefault="002E09FC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237453" w:rsidRPr="00237453" w14:paraId="602EFE83" w14:textId="77777777" w:rsidTr="00782D1F">
        <w:trPr>
          <w:trHeight w:val="242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D45EA" w14:textId="77777777" w:rsidR="00237453" w:rsidRPr="00237453" w:rsidRDefault="00237453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Oficina de Acceso a la Información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01AA5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AF059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8052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E722C" w14:textId="77777777" w:rsidR="00237453" w:rsidRPr="00237453" w:rsidRDefault="00237453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E81A88" w:rsidRPr="00237453" w14:paraId="31C9AC32" w14:textId="77777777" w:rsidTr="00782D1F">
        <w:trPr>
          <w:trHeight w:val="242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04C9F" w14:textId="28FA6945" w:rsidR="00E81A88" w:rsidRPr="00237453" w:rsidRDefault="00E81A88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Departamento 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Control Incentivos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84002" w14:textId="2150575A" w:rsidR="00E81A88" w:rsidRPr="00237453" w:rsidRDefault="008E63D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C7B2B" w14:textId="2233DDD5" w:rsidR="00E81A88" w:rsidRPr="00237453" w:rsidRDefault="008E63D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E16C8" w14:textId="3AD1E874" w:rsidR="00E81A88" w:rsidRPr="00237453" w:rsidRDefault="008E63D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CE1A8" w14:textId="21CF8D33" w:rsidR="00E81A88" w:rsidRPr="00237453" w:rsidRDefault="008E63D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8E63D8" w:rsidRPr="00237453" w14:paraId="00224648" w14:textId="77777777" w:rsidTr="00782D1F">
        <w:trPr>
          <w:trHeight w:val="242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898CC" w14:textId="7BF35207" w:rsidR="008E63D8" w:rsidRPr="00237453" w:rsidRDefault="008E63D8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Departamento 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Control Incentivos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PyD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A9B7B" w14:textId="409EC763" w:rsidR="008E63D8" w:rsidRDefault="008E63D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BA191" w14:textId="2653E9B9" w:rsidR="008E63D8" w:rsidRDefault="008E63D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1F018" w14:textId="7C3A1FFE" w:rsidR="008E63D8" w:rsidRDefault="008E63D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4C04E" w14:textId="5CEA3F8B" w:rsidR="008E63D8" w:rsidRDefault="008E63D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8E63D8" w:rsidRPr="00237453" w14:paraId="4B28C6DF" w14:textId="77777777" w:rsidTr="00782D1F">
        <w:trPr>
          <w:trHeight w:val="242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0E90F" w14:textId="1160F0B3" w:rsidR="008E63D8" w:rsidRPr="00237453" w:rsidRDefault="008E63D8" w:rsidP="00237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Dirección Ejecutiva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PyD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99EF9" w14:textId="4EFEB468" w:rsidR="008E63D8" w:rsidRDefault="008E63D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4649D" w14:textId="1C5BC829" w:rsidR="008E63D8" w:rsidRDefault="008E63D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4B0AD" w14:textId="081A8039" w:rsidR="008E63D8" w:rsidRDefault="008E63D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DACE4B" w14:textId="7BB5CE70" w:rsidR="008E63D8" w:rsidRDefault="008E63D8" w:rsidP="002374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237453" w:rsidRPr="00237453" w14:paraId="26F4FD2E" w14:textId="77777777" w:rsidTr="0035318E">
        <w:trPr>
          <w:trHeight w:val="407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6E39A" w14:textId="77777777" w:rsidR="00237453" w:rsidRPr="00237453" w:rsidRDefault="00237453" w:rsidP="002374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62FAA" w14:textId="4FBF4890" w:rsidR="00237453" w:rsidRPr="00237453" w:rsidRDefault="00305AD2" w:rsidP="002374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4</w:t>
            </w:r>
            <w:r w:rsidR="005002B5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F4062" w14:textId="1CD1250E" w:rsidR="00237453" w:rsidRPr="00237453" w:rsidRDefault="00237453" w:rsidP="002374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237453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2</w:t>
            </w:r>
            <w:r w:rsidR="00305AD2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5CF36" w14:textId="7CFBE818" w:rsidR="00237453" w:rsidRPr="00237453" w:rsidRDefault="005002B5" w:rsidP="002374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0</w:t>
            </w:r>
            <w:r w:rsidR="002E09FC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B1BC4" w14:textId="198B1E7C" w:rsidR="00237453" w:rsidRPr="00237453" w:rsidRDefault="005002B5" w:rsidP="002374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0</w:t>
            </w:r>
            <w:r w:rsidR="002E09FC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8</w:t>
            </w:r>
          </w:p>
        </w:tc>
      </w:tr>
    </w:tbl>
    <w:p w14:paraId="1FA386EF" w14:textId="77777777" w:rsidR="00F168BC" w:rsidRDefault="00F168BC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7DBCDF70" w14:textId="5D117CF2" w:rsidR="007E555B" w:rsidRDefault="00785D16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En el siguiente gráfico se muestra el comparativo porcentual de los productos alcanzados y el nivel de ejecución de los que han tenido que ser replanteados en el cronograma:</w:t>
      </w:r>
    </w:p>
    <w:p w14:paraId="6D312978" w14:textId="0E347918" w:rsidR="007E555B" w:rsidRDefault="007E555B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3EFAF399" w14:textId="51D4D661" w:rsidR="00F168BC" w:rsidRDefault="00F168BC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Gráfico No.3</w:t>
      </w:r>
    </w:p>
    <w:p w14:paraId="51E3A39F" w14:textId="578A9B00" w:rsidR="00785D16" w:rsidRDefault="000F464F" w:rsidP="00785D16">
      <w:pPr>
        <w:spacing w:line="240" w:lineRule="auto"/>
        <w:jc w:val="center"/>
        <w:rPr>
          <w:rFonts w:ascii="Palatino Linotype" w:hAnsi="Palatino Linotype"/>
          <w:sz w:val="28"/>
          <w:szCs w:val="28"/>
        </w:rPr>
      </w:pPr>
      <w:r>
        <w:rPr>
          <w:noProof/>
        </w:rPr>
        <w:drawing>
          <wp:inline distT="0" distB="0" distL="0" distR="0" wp14:anchorId="7B6939B2" wp14:editId="0FB360B9">
            <wp:extent cx="3514725" cy="2667000"/>
            <wp:effectExtent l="0" t="0" r="9525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30E622A7-0A06-4FAD-B9AB-58E8F1A31B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6E1EA5" w14:textId="77777777" w:rsidR="000F464F" w:rsidRDefault="007E555B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En este Eje se ha</w:t>
      </w:r>
      <w:r w:rsidR="001A676A">
        <w:rPr>
          <w:rFonts w:ascii="Palatino Linotype" w:hAnsi="Palatino Linotype"/>
          <w:sz w:val="28"/>
          <w:szCs w:val="28"/>
        </w:rPr>
        <w:t>n</w:t>
      </w:r>
      <w:r>
        <w:rPr>
          <w:rFonts w:ascii="Palatino Linotype" w:hAnsi="Palatino Linotype"/>
          <w:sz w:val="28"/>
          <w:szCs w:val="28"/>
        </w:rPr>
        <w:t xml:space="preserve"> tenido que replantear ciertas actividades como la</w:t>
      </w:r>
      <w:r w:rsidR="00A718D7">
        <w:rPr>
          <w:rFonts w:ascii="Palatino Linotype" w:hAnsi="Palatino Linotype"/>
          <w:sz w:val="28"/>
          <w:szCs w:val="28"/>
        </w:rPr>
        <w:t>s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F136E0">
        <w:rPr>
          <w:rFonts w:ascii="Palatino Linotype" w:hAnsi="Palatino Linotype"/>
          <w:sz w:val="28"/>
          <w:szCs w:val="28"/>
        </w:rPr>
        <w:t xml:space="preserve">de remozar áreas físicas deterioradas del CCDF </w:t>
      </w:r>
      <w:r w:rsidR="001A676A">
        <w:rPr>
          <w:rFonts w:ascii="Palatino Linotype" w:hAnsi="Palatino Linotype"/>
          <w:sz w:val="28"/>
          <w:szCs w:val="28"/>
        </w:rPr>
        <w:t xml:space="preserve">y las asesorías sobre los servicios que ofrece el CCDF para ser realizadas en el </w:t>
      </w:r>
      <w:r w:rsidR="002B7A79">
        <w:rPr>
          <w:rFonts w:ascii="Palatino Linotype" w:hAnsi="Palatino Linotype"/>
          <w:sz w:val="28"/>
          <w:szCs w:val="28"/>
        </w:rPr>
        <w:t>3er</w:t>
      </w:r>
      <w:r w:rsidR="001A676A">
        <w:rPr>
          <w:rFonts w:ascii="Palatino Linotype" w:hAnsi="Palatino Linotype"/>
          <w:sz w:val="28"/>
          <w:szCs w:val="28"/>
        </w:rPr>
        <w:t xml:space="preserve"> trimestre</w:t>
      </w:r>
      <w:r w:rsidR="0027348C">
        <w:rPr>
          <w:rFonts w:ascii="Palatino Linotype" w:hAnsi="Palatino Linotype"/>
          <w:sz w:val="28"/>
          <w:szCs w:val="28"/>
        </w:rPr>
        <w:t xml:space="preserve"> 2022</w:t>
      </w:r>
      <w:r w:rsidR="00A718D7">
        <w:rPr>
          <w:rFonts w:ascii="Palatino Linotype" w:hAnsi="Palatino Linotype"/>
          <w:sz w:val="28"/>
          <w:szCs w:val="28"/>
        </w:rPr>
        <w:t>.</w:t>
      </w:r>
      <w:r w:rsidR="002B7A79">
        <w:rPr>
          <w:rFonts w:ascii="Palatino Linotype" w:hAnsi="Palatino Linotype"/>
          <w:sz w:val="28"/>
          <w:szCs w:val="28"/>
        </w:rPr>
        <w:t xml:space="preserve"> </w:t>
      </w:r>
    </w:p>
    <w:p w14:paraId="514F42AE" w14:textId="02A3F802" w:rsidR="00A718D7" w:rsidRDefault="002B7A79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Así como también </w:t>
      </w:r>
      <w:r w:rsidR="000F464F">
        <w:rPr>
          <w:rFonts w:ascii="Palatino Linotype" w:hAnsi="Palatino Linotype"/>
          <w:sz w:val="28"/>
          <w:szCs w:val="28"/>
        </w:rPr>
        <w:t>se ha decidido</w:t>
      </w:r>
      <w:r>
        <w:rPr>
          <w:rFonts w:ascii="Palatino Linotype" w:hAnsi="Palatino Linotype"/>
          <w:sz w:val="28"/>
          <w:szCs w:val="28"/>
        </w:rPr>
        <w:t xml:space="preserve"> re</w:t>
      </w:r>
      <w:r w:rsidR="00E50265">
        <w:rPr>
          <w:rFonts w:ascii="Palatino Linotype" w:hAnsi="Palatino Linotype"/>
          <w:sz w:val="28"/>
          <w:szCs w:val="28"/>
        </w:rPr>
        <w:t>p</w:t>
      </w:r>
      <w:r>
        <w:rPr>
          <w:rFonts w:ascii="Palatino Linotype" w:hAnsi="Palatino Linotype"/>
          <w:sz w:val="28"/>
          <w:szCs w:val="28"/>
        </w:rPr>
        <w:t>rograma</w:t>
      </w:r>
      <w:r w:rsidR="000F464F">
        <w:rPr>
          <w:rFonts w:ascii="Palatino Linotype" w:hAnsi="Palatino Linotype"/>
          <w:sz w:val="28"/>
          <w:szCs w:val="28"/>
        </w:rPr>
        <w:t xml:space="preserve">r para </w:t>
      </w:r>
      <w:proofErr w:type="spellStart"/>
      <w:r w:rsidR="000F464F">
        <w:rPr>
          <w:rFonts w:ascii="Palatino Linotype" w:hAnsi="Palatino Linotype"/>
          <w:sz w:val="28"/>
          <w:szCs w:val="28"/>
        </w:rPr>
        <w:t>el</w:t>
      </w:r>
      <w:proofErr w:type="spellEnd"/>
      <w:r w:rsidR="000F464F">
        <w:rPr>
          <w:rFonts w:ascii="Palatino Linotype" w:hAnsi="Palatino Linotype"/>
          <w:sz w:val="28"/>
          <w:szCs w:val="28"/>
        </w:rPr>
        <w:t xml:space="preserve"> T4-2022</w:t>
      </w:r>
      <w:r>
        <w:rPr>
          <w:rFonts w:ascii="Palatino Linotype" w:hAnsi="Palatino Linotype"/>
          <w:sz w:val="28"/>
          <w:szCs w:val="28"/>
        </w:rPr>
        <w:t>, la actualización de los procedimientos</w:t>
      </w:r>
      <w:r w:rsidR="000F464F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y</w:t>
      </w:r>
      <w:r w:rsidR="000F464F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políticas internas</w:t>
      </w:r>
      <w:r w:rsidR="00E50265">
        <w:rPr>
          <w:rFonts w:ascii="Palatino Linotype" w:hAnsi="Palatino Linotype"/>
          <w:sz w:val="28"/>
          <w:szCs w:val="28"/>
        </w:rPr>
        <w:t xml:space="preserve">; </w:t>
      </w:r>
      <w:r w:rsidR="000F464F">
        <w:rPr>
          <w:rFonts w:ascii="Palatino Linotype" w:hAnsi="Palatino Linotype"/>
          <w:sz w:val="28"/>
          <w:szCs w:val="28"/>
        </w:rPr>
        <w:t xml:space="preserve">y </w:t>
      </w:r>
      <w:r w:rsidR="00E50265">
        <w:rPr>
          <w:rFonts w:ascii="Palatino Linotype" w:hAnsi="Palatino Linotype"/>
          <w:sz w:val="28"/>
          <w:szCs w:val="28"/>
        </w:rPr>
        <w:t>la actualización del Manual de Cargos que debe realizarse en conjunto con técnicos del Ministerio de Administración Pública.</w:t>
      </w:r>
    </w:p>
    <w:p w14:paraId="50823F88" w14:textId="41324513" w:rsidR="00E50265" w:rsidRDefault="00E50265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De igual manera, </w:t>
      </w:r>
      <w:r w:rsidR="000F464F">
        <w:rPr>
          <w:rFonts w:ascii="Palatino Linotype" w:hAnsi="Palatino Linotype"/>
          <w:sz w:val="28"/>
          <w:szCs w:val="28"/>
        </w:rPr>
        <w:t>se debe replantear</w:t>
      </w:r>
      <w:r>
        <w:rPr>
          <w:rFonts w:ascii="Palatino Linotype" w:hAnsi="Palatino Linotype"/>
          <w:sz w:val="28"/>
          <w:szCs w:val="28"/>
        </w:rPr>
        <w:t xml:space="preserve"> el relanzamiento de la Oficina del CCDF ubicada en Santiago de los Caballeros, debido a que el proceso de re</w:t>
      </w:r>
      <w:r w:rsidR="004018E6">
        <w:rPr>
          <w:rFonts w:ascii="Palatino Linotype" w:hAnsi="Palatino Linotype"/>
          <w:sz w:val="28"/>
          <w:szCs w:val="28"/>
        </w:rPr>
        <w:t>moción de los espacios debe</w:t>
      </w:r>
      <w:r w:rsidR="00AD6663">
        <w:rPr>
          <w:rFonts w:ascii="Palatino Linotype" w:hAnsi="Palatino Linotype"/>
          <w:sz w:val="28"/>
          <w:szCs w:val="28"/>
        </w:rPr>
        <w:t xml:space="preserve"> </w:t>
      </w:r>
      <w:r w:rsidR="004018E6">
        <w:rPr>
          <w:rFonts w:ascii="Palatino Linotype" w:hAnsi="Palatino Linotype"/>
          <w:sz w:val="28"/>
          <w:szCs w:val="28"/>
        </w:rPr>
        <w:t>ser coordinado</w:t>
      </w:r>
      <w:r w:rsidR="00AD6663">
        <w:rPr>
          <w:rFonts w:ascii="Palatino Linotype" w:hAnsi="Palatino Linotype"/>
          <w:sz w:val="28"/>
          <w:szCs w:val="28"/>
        </w:rPr>
        <w:t xml:space="preserve"> </w:t>
      </w:r>
      <w:r w:rsidR="004018E6">
        <w:rPr>
          <w:rFonts w:ascii="Palatino Linotype" w:hAnsi="Palatino Linotype"/>
          <w:sz w:val="28"/>
          <w:szCs w:val="28"/>
        </w:rPr>
        <w:t>con la Gobernación Provincial de la referida ciudad y no se ha logrado al corte del T2-2022.</w:t>
      </w:r>
    </w:p>
    <w:p w14:paraId="76594CA5" w14:textId="0749AF58" w:rsidR="004018E6" w:rsidRDefault="00AD6663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No se realizó la actualización de la Estructura Program</w:t>
      </w:r>
      <w:r w:rsidR="009E2387">
        <w:rPr>
          <w:rFonts w:ascii="Palatino Linotype" w:hAnsi="Palatino Linotype"/>
          <w:sz w:val="28"/>
          <w:szCs w:val="28"/>
        </w:rPr>
        <w:t>á</w:t>
      </w:r>
      <w:r>
        <w:rPr>
          <w:rFonts w:ascii="Palatino Linotype" w:hAnsi="Palatino Linotype"/>
          <w:sz w:val="28"/>
          <w:szCs w:val="28"/>
        </w:rPr>
        <w:t>tica de nuestra Instituci</w:t>
      </w:r>
      <w:r w:rsidR="009E2387">
        <w:rPr>
          <w:rFonts w:ascii="Palatino Linotype" w:hAnsi="Palatino Linotype"/>
          <w:sz w:val="28"/>
          <w:szCs w:val="28"/>
        </w:rPr>
        <w:t>ó</w:t>
      </w:r>
      <w:r>
        <w:rPr>
          <w:rFonts w:ascii="Palatino Linotype" w:hAnsi="Palatino Linotype"/>
          <w:sz w:val="28"/>
          <w:szCs w:val="28"/>
        </w:rPr>
        <w:t>n en SIGEF, debido a que no se ha iniciado el proceso de</w:t>
      </w:r>
      <w:r w:rsidR="009E2387">
        <w:rPr>
          <w:rFonts w:ascii="Palatino Linotype" w:hAnsi="Palatino Linotype"/>
          <w:sz w:val="28"/>
          <w:szCs w:val="28"/>
        </w:rPr>
        <w:t xml:space="preserve"> adscripción al Ministerio de la Presidencia como indica el nuevo marco de la Ley 12-21.</w:t>
      </w:r>
    </w:p>
    <w:p w14:paraId="361B6D07" w14:textId="06C1C6A9" w:rsidR="004C363F" w:rsidRDefault="009B7518" w:rsidP="00EE1E0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En ge</w:t>
      </w:r>
      <w:r w:rsidR="00D32181">
        <w:rPr>
          <w:rFonts w:ascii="Palatino Linotype" w:hAnsi="Palatino Linotype"/>
          <w:sz w:val="28"/>
          <w:szCs w:val="28"/>
        </w:rPr>
        <w:t>neral</w:t>
      </w:r>
      <w:r w:rsidR="008818DE">
        <w:rPr>
          <w:rFonts w:ascii="Palatino Linotype" w:hAnsi="Palatino Linotype"/>
          <w:sz w:val="28"/>
          <w:szCs w:val="28"/>
        </w:rPr>
        <w:t>,</w:t>
      </w:r>
      <w:r w:rsidR="00D32181">
        <w:rPr>
          <w:rFonts w:ascii="Palatino Linotype" w:hAnsi="Palatino Linotype"/>
          <w:sz w:val="28"/>
          <w:szCs w:val="28"/>
        </w:rPr>
        <w:t xml:space="preserve"> el cumplimiento </w:t>
      </w:r>
      <w:r w:rsidR="008818DE">
        <w:rPr>
          <w:rFonts w:ascii="Palatino Linotype" w:hAnsi="Palatino Linotype"/>
          <w:sz w:val="28"/>
          <w:szCs w:val="28"/>
        </w:rPr>
        <w:t xml:space="preserve">evidenciado </w:t>
      </w:r>
      <w:r w:rsidR="00D32181">
        <w:rPr>
          <w:rFonts w:ascii="Palatino Linotype" w:hAnsi="Palatino Linotype"/>
          <w:sz w:val="28"/>
          <w:szCs w:val="28"/>
        </w:rPr>
        <w:t xml:space="preserve">del POA en el trimestre </w:t>
      </w:r>
      <w:r w:rsidR="00FA0CD6">
        <w:rPr>
          <w:rFonts w:ascii="Palatino Linotype" w:hAnsi="Palatino Linotype"/>
          <w:sz w:val="28"/>
          <w:szCs w:val="28"/>
        </w:rPr>
        <w:t>abril-junio</w:t>
      </w:r>
      <w:r w:rsidR="00D32181">
        <w:rPr>
          <w:rFonts w:ascii="Palatino Linotype" w:hAnsi="Palatino Linotype"/>
          <w:sz w:val="28"/>
          <w:szCs w:val="28"/>
        </w:rPr>
        <w:t xml:space="preserve"> 2022 fue de un </w:t>
      </w:r>
      <w:r w:rsidR="00D3072E">
        <w:rPr>
          <w:rFonts w:ascii="Palatino Linotype" w:hAnsi="Palatino Linotype"/>
          <w:sz w:val="28"/>
          <w:szCs w:val="28"/>
        </w:rPr>
        <w:t>80</w:t>
      </w:r>
      <w:r w:rsidR="00D32181">
        <w:rPr>
          <w:rFonts w:ascii="Palatino Linotype" w:hAnsi="Palatino Linotype"/>
          <w:sz w:val="28"/>
          <w:szCs w:val="28"/>
        </w:rPr>
        <w:t>%</w:t>
      </w:r>
      <w:r w:rsidR="00C53486">
        <w:rPr>
          <w:rFonts w:ascii="Palatino Linotype" w:hAnsi="Palatino Linotype"/>
          <w:sz w:val="28"/>
          <w:szCs w:val="28"/>
        </w:rPr>
        <w:t xml:space="preserve"> con metas logradas</w:t>
      </w:r>
      <w:r w:rsidR="00D3072E">
        <w:rPr>
          <w:rFonts w:ascii="Palatino Linotype" w:hAnsi="Palatino Linotype"/>
          <w:sz w:val="28"/>
          <w:szCs w:val="28"/>
        </w:rPr>
        <w:t xml:space="preserve"> en un rango de 75% a 100%</w:t>
      </w:r>
      <w:r w:rsidR="00C53486">
        <w:rPr>
          <w:rFonts w:ascii="Palatino Linotype" w:hAnsi="Palatino Linotype"/>
          <w:sz w:val="28"/>
          <w:szCs w:val="28"/>
        </w:rPr>
        <w:t>.</w:t>
      </w:r>
    </w:p>
    <w:p w14:paraId="0DD41509" w14:textId="444A214D" w:rsidR="003B6B25" w:rsidRPr="005C19C2" w:rsidRDefault="007274AE" w:rsidP="00EE1E0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Palatino Linotype" w:hAnsi="Palatino Linotype" w:cs="Arial"/>
          <w:b/>
          <w:bCs/>
          <w:sz w:val="28"/>
          <w:szCs w:val="28"/>
        </w:rPr>
      </w:pPr>
      <w:r>
        <w:rPr>
          <w:rFonts w:ascii="Palatino Linotype" w:hAnsi="Palatino Linotype" w:cs="Arial"/>
          <w:b/>
          <w:bCs/>
          <w:sz w:val="28"/>
          <w:szCs w:val="28"/>
        </w:rPr>
        <w:t>R</w:t>
      </w:r>
      <w:r w:rsidR="003B6B25" w:rsidRPr="005C19C2">
        <w:rPr>
          <w:rFonts w:ascii="Palatino Linotype" w:hAnsi="Palatino Linotype" w:cs="Arial"/>
          <w:b/>
          <w:bCs/>
          <w:sz w:val="28"/>
          <w:szCs w:val="28"/>
        </w:rPr>
        <w:t>ECOMENDACIONES</w:t>
      </w:r>
    </w:p>
    <w:p w14:paraId="34A21B65" w14:textId="1192C532" w:rsidR="008541DA" w:rsidRDefault="005C19C2" w:rsidP="00EE1E00">
      <w:pPr>
        <w:spacing w:line="240" w:lineRule="auto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t xml:space="preserve">Luego de analizado el comportamiento de ejecución del POA </w:t>
      </w:r>
      <w:r w:rsidR="00F136E0">
        <w:rPr>
          <w:rFonts w:ascii="Palatino Linotype" w:hAnsi="Palatino Linotype" w:cs="Arial"/>
          <w:sz w:val="28"/>
          <w:szCs w:val="28"/>
        </w:rPr>
        <w:t xml:space="preserve">durante el </w:t>
      </w:r>
      <w:r w:rsidR="0088649E">
        <w:rPr>
          <w:rFonts w:ascii="Palatino Linotype" w:hAnsi="Palatino Linotype" w:cs="Arial"/>
          <w:sz w:val="28"/>
          <w:szCs w:val="28"/>
        </w:rPr>
        <w:t>segundo</w:t>
      </w:r>
      <w:r w:rsidR="00F136E0">
        <w:rPr>
          <w:rFonts w:ascii="Palatino Linotype" w:hAnsi="Palatino Linotype" w:cs="Arial"/>
          <w:sz w:val="28"/>
          <w:szCs w:val="28"/>
        </w:rPr>
        <w:t xml:space="preserve"> trimestre </w:t>
      </w:r>
      <w:r>
        <w:rPr>
          <w:rFonts w:ascii="Palatino Linotype" w:hAnsi="Palatino Linotype" w:cs="Arial"/>
          <w:sz w:val="28"/>
          <w:szCs w:val="28"/>
        </w:rPr>
        <w:t>202</w:t>
      </w:r>
      <w:r w:rsidR="00F136E0">
        <w:rPr>
          <w:rFonts w:ascii="Palatino Linotype" w:hAnsi="Palatino Linotype" w:cs="Arial"/>
          <w:sz w:val="28"/>
          <w:szCs w:val="28"/>
        </w:rPr>
        <w:t>2</w:t>
      </w:r>
      <w:r>
        <w:rPr>
          <w:rFonts w:ascii="Palatino Linotype" w:hAnsi="Palatino Linotype" w:cs="Arial"/>
          <w:sz w:val="28"/>
          <w:szCs w:val="28"/>
        </w:rPr>
        <w:t xml:space="preserve"> del CCDF y con el objetivo de asegurar el cumplimiento de los resultados esperados; aquí se listan unas recomendaciones a seguir</w:t>
      </w:r>
      <w:r w:rsidR="00D17C2D">
        <w:rPr>
          <w:rFonts w:ascii="Palatino Linotype" w:hAnsi="Palatino Linotype" w:cs="Arial"/>
          <w:sz w:val="28"/>
          <w:szCs w:val="28"/>
        </w:rPr>
        <w:t>:</w:t>
      </w:r>
    </w:p>
    <w:p w14:paraId="0399EBBF" w14:textId="4E6061BB" w:rsidR="00EB5F9D" w:rsidRDefault="00EB5F9D" w:rsidP="00D17C2D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t>Asegurar que sean comunicadas de manera pertinente y efectiva a la División de Planificación y Desarrollo las modificaciones a las metas y actividades relacionadas a los diferentes productos</w:t>
      </w:r>
      <w:r w:rsidR="0080357F">
        <w:rPr>
          <w:rFonts w:ascii="Palatino Linotype" w:hAnsi="Palatino Linotype" w:cs="Arial"/>
          <w:sz w:val="28"/>
          <w:szCs w:val="28"/>
        </w:rPr>
        <w:t xml:space="preserve"> a través de alguna matriz de seguimiento trimestral que dicha División diseñe para tal fin y </w:t>
      </w:r>
      <w:r w:rsidR="00000524">
        <w:rPr>
          <w:rFonts w:ascii="Palatino Linotype" w:hAnsi="Palatino Linotype" w:cs="Arial"/>
          <w:sz w:val="28"/>
          <w:szCs w:val="28"/>
        </w:rPr>
        <w:t xml:space="preserve">que </w:t>
      </w:r>
      <w:r w:rsidR="0080357F">
        <w:rPr>
          <w:rFonts w:ascii="Palatino Linotype" w:hAnsi="Palatino Linotype" w:cs="Arial"/>
          <w:sz w:val="28"/>
          <w:szCs w:val="28"/>
        </w:rPr>
        <w:t>la misma sea acompañada de evidencias.</w:t>
      </w:r>
    </w:p>
    <w:p w14:paraId="3DC866FA" w14:textId="2DC53C05" w:rsidR="00F168BC" w:rsidRDefault="00F168BC" w:rsidP="00D17C2D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t xml:space="preserve">Se debe incentivar a los Encargados de Departamentos /Divisiones; a buscar las alternativas que permitan la ejecución de las tareas pendientes del </w:t>
      </w:r>
      <w:r w:rsidR="0088649E">
        <w:rPr>
          <w:rFonts w:ascii="Palatino Linotype" w:hAnsi="Palatino Linotype" w:cs="Arial"/>
          <w:sz w:val="28"/>
          <w:szCs w:val="28"/>
        </w:rPr>
        <w:t>2do</w:t>
      </w:r>
      <w:r>
        <w:rPr>
          <w:rFonts w:ascii="Palatino Linotype" w:hAnsi="Palatino Linotype" w:cs="Arial"/>
          <w:sz w:val="28"/>
          <w:szCs w:val="28"/>
        </w:rPr>
        <w:t xml:space="preserve"> </w:t>
      </w:r>
      <w:r w:rsidR="00000524">
        <w:rPr>
          <w:rFonts w:ascii="Palatino Linotype" w:hAnsi="Palatino Linotype" w:cs="Arial"/>
          <w:sz w:val="28"/>
          <w:szCs w:val="28"/>
        </w:rPr>
        <w:t>tri</w:t>
      </w:r>
      <w:r>
        <w:rPr>
          <w:rFonts w:ascii="Palatino Linotype" w:hAnsi="Palatino Linotype" w:cs="Arial"/>
          <w:sz w:val="28"/>
          <w:szCs w:val="28"/>
        </w:rPr>
        <w:t xml:space="preserve">mestre sin que merme la realización de las programadas para </w:t>
      </w:r>
      <w:r w:rsidR="0088649E">
        <w:rPr>
          <w:rFonts w:ascii="Palatino Linotype" w:hAnsi="Palatino Linotype" w:cs="Arial"/>
          <w:sz w:val="28"/>
          <w:szCs w:val="28"/>
        </w:rPr>
        <w:t>el resto</w:t>
      </w:r>
      <w:r>
        <w:rPr>
          <w:rFonts w:ascii="Palatino Linotype" w:hAnsi="Palatino Linotype" w:cs="Arial"/>
          <w:sz w:val="28"/>
          <w:szCs w:val="28"/>
        </w:rPr>
        <w:t xml:space="preserve"> del 202</w:t>
      </w:r>
      <w:r w:rsidR="00000524">
        <w:rPr>
          <w:rFonts w:ascii="Palatino Linotype" w:hAnsi="Palatino Linotype" w:cs="Arial"/>
          <w:sz w:val="28"/>
          <w:szCs w:val="28"/>
        </w:rPr>
        <w:t>2</w:t>
      </w:r>
      <w:r>
        <w:rPr>
          <w:rFonts w:ascii="Palatino Linotype" w:hAnsi="Palatino Linotype" w:cs="Arial"/>
          <w:sz w:val="28"/>
          <w:szCs w:val="28"/>
        </w:rPr>
        <w:t xml:space="preserve">. </w:t>
      </w:r>
    </w:p>
    <w:p w14:paraId="3B2470D0" w14:textId="22B6A57E" w:rsidR="00A46708" w:rsidRPr="00000524" w:rsidRDefault="00AD1A0B" w:rsidP="00EE1E00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t xml:space="preserve">Evaluar para </w:t>
      </w:r>
      <w:r w:rsidR="00000524">
        <w:rPr>
          <w:rFonts w:ascii="Palatino Linotype" w:hAnsi="Palatino Linotype" w:cs="Arial"/>
          <w:sz w:val="28"/>
          <w:szCs w:val="28"/>
        </w:rPr>
        <w:t xml:space="preserve">los demás trimestres </w:t>
      </w:r>
      <w:r>
        <w:rPr>
          <w:rFonts w:ascii="Palatino Linotype" w:hAnsi="Palatino Linotype" w:cs="Arial"/>
          <w:sz w:val="28"/>
          <w:szCs w:val="28"/>
        </w:rPr>
        <w:t>del POA 2022</w:t>
      </w:r>
      <w:r w:rsidR="00000524">
        <w:rPr>
          <w:rFonts w:ascii="Palatino Linotype" w:hAnsi="Palatino Linotype" w:cs="Arial"/>
          <w:sz w:val="28"/>
          <w:szCs w:val="28"/>
        </w:rPr>
        <w:t xml:space="preserve"> que las</w:t>
      </w:r>
      <w:r>
        <w:rPr>
          <w:rFonts w:ascii="Palatino Linotype" w:hAnsi="Palatino Linotype" w:cs="Arial"/>
          <w:sz w:val="28"/>
          <w:szCs w:val="28"/>
        </w:rPr>
        <w:t xml:space="preserve"> actividades </w:t>
      </w:r>
      <w:r w:rsidR="00000524">
        <w:rPr>
          <w:rFonts w:ascii="Palatino Linotype" w:hAnsi="Palatino Linotype" w:cs="Arial"/>
          <w:sz w:val="28"/>
          <w:szCs w:val="28"/>
        </w:rPr>
        <w:t xml:space="preserve">programadas </w:t>
      </w:r>
      <w:r>
        <w:rPr>
          <w:rFonts w:ascii="Palatino Linotype" w:hAnsi="Palatino Linotype" w:cs="Arial"/>
          <w:sz w:val="28"/>
          <w:szCs w:val="28"/>
        </w:rPr>
        <w:t xml:space="preserve">puedan ser ejecutadas </w:t>
      </w:r>
      <w:r w:rsidR="00000524">
        <w:rPr>
          <w:rFonts w:ascii="Palatino Linotype" w:hAnsi="Palatino Linotype" w:cs="Arial"/>
          <w:sz w:val="28"/>
          <w:szCs w:val="28"/>
        </w:rPr>
        <w:t>de acuerdo a la</w:t>
      </w:r>
      <w:r>
        <w:rPr>
          <w:rFonts w:ascii="Palatino Linotype" w:hAnsi="Palatino Linotype" w:cs="Arial"/>
          <w:sz w:val="28"/>
          <w:szCs w:val="28"/>
        </w:rPr>
        <w:t xml:space="preserve"> realidad de las operaciones de la institución.</w:t>
      </w:r>
    </w:p>
    <w:p w14:paraId="28F2A0D0" w14:textId="5CE5B67F" w:rsidR="00B54922" w:rsidRDefault="004164CD" w:rsidP="00B54922">
      <w:pPr>
        <w:spacing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Elaborado por</w:t>
      </w:r>
      <w:r w:rsidR="00232BF7">
        <w:rPr>
          <w:rFonts w:ascii="Palatino Linotype" w:hAnsi="Palatino Linotype"/>
          <w:b/>
          <w:bCs/>
          <w:sz w:val="24"/>
          <w:szCs w:val="24"/>
        </w:rPr>
        <w:t>:</w:t>
      </w:r>
    </w:p>
    <w:p w14:paraId="6A00865F" w14:textId="39B9B4C2" w:rsidR="00232BF7" w:rsidRDefault="00232BF7" w:rsidP="00B54922">
      <w:pPr>
        <w:spacing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78FEC361" w14:textId="4686185E" w:rsidR="00232BF7" w:rsidRDefault="00232BF7" w:rsidP="00B54922">
      <w:pPr>
        <w:spacing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Alicia Reyes</w:t>
      </w:r>
    </w:p>
    <w:p w14:paraId="54C0A7CF" w14:textId="21619DF3" w:rsidR="00232BF7" w:rsidRDefault="00232BF7" w:rsidP="00B54922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Encargada</w:t>
      </w:r>
    </w:p>
    <w:p w14:paraId="1371ABB4" w14:textId="38F537EA" w:rsidR="008308F1" w:rsidRPr="00232BF7" w:rsidRDefault="004164CD" w:rsidP="00B54922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 w:rsidRPr="00232BF7">
        <w:rPr>
          <w:rFonts w:ascii="Palatino Linotype" w:hAnsi="Palatino Linotype"/>
          <w:sz w:val="24"/>
          <w:szCs w:val="24"/>
        </w:rPr>
        <w:t>División de Planificación y Desarrollo</w:t>
      </w:r>
    </w:p>
    <w:p w14:paraId="4131E55F" w14:textId="77777777" w:rsidR="00E268D6" w:rsidRDefault="00E268D6" w:rsidP="00B54922">
      <w:pPr>
        <w:spacing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4819891B" w14:textId="409F5FD8" w:rsidR="00B54922" w:rsidRDefault="00B54922" w:rsidP="00B54922">
      <w:pPr>
        <w:spacing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Verificado y aprobado por:</w:t>
      </w:r>
    </w:p>
    <w:p w14:paraId="3D2CB0F8" w14:textId="77777777" w:rsidR="00E268D6" w:rsidRDefault="00E268D6" w:rsidP="00B54922">
      <w:pPr>
        <w:spacing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4367CB8B" w14:textId="139810C0" w:rsidR="00B54922" w:rsidRDefault="00B54922" w:rsidP="00B54922">
      <w:pPr>
        <w:spacing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proofErr w:type="spellStart"/>
      <w:r>
        <w:rPr>
          <w:rFonts w:ascii="Palatino Linotype" w:hAnsi="Palatino Linotype"/>
          <w:b/>
          <w:bCs/>
          <w:sz w:val="24"/>
          <w:szCs w:val="24"/>
        </w:rPr>
        <w:t>Erodis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D11258">
        <w:rPr>
          <w:rFonts w:ascii="Palatino Linotype" w:hAnsi="Palatino Linotype"/>
          <w:b/>
          <w:bCs/>
          <w:sz w:val="24"/>
          <w:szCs w:val="24"/>
        </w:rPr>
        <w:t>Fernelis</w:t>
      </w:r>
      <w:proofErr w:type="spellEnd"/>
      <w:r w:rsidR="00D11258">
        <w:rPr>
          <w:rFonts w:ascii="Palatino Linotype" w:hAnsi="Palatino Linotype"/>
          <w:b/>
          <w:bCs/>
          <w:sz w:val="24"/>
          <w:szCs w:val="24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</w:rPr>
        <w:t>Díaz</w:t>
      </w:r>
    </w:p>
    <w:p w14:paraId="4B8BAA85" w14:textId="1F2BB9F2" w:rsidR="00B54922" w:rsidRPr="00EE1E00" w:rsidRDefault="00B54922" w:rsidP="00B54922">
      <w:pPr>
        <w:spacing w:line="240" w:lineRule="auto"/>
        <w:jc w:val="center"/>
        <w:rPr>
          <w:sz w:val="40"/>
          <w:szCs w:val="40"/>
        </w:rPr>
      </w:pPr>
      <w:r>
        <w:rPr>
          <w:rFonts w:ascii="Palatino Linotype" w:hAnsi="Palatino Linotype"/>
          <w:sz w:val="24"/>
          <w:szCs w:val="24"/>
        </w:rPr>
        <w:t>Director Ejecutivo</w:t>
      </w:r>
    </w:p>
    <w:sectPr w:rsidR="00B54922" w:rsidRPr="00EE1E00" w:rsidSect="00132F77">
      <w:type w:val="continuous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4ACB" w14:textId="77777777" w:rsidR="00990802" w:rsidRDefault="00990802" w:rsidP="00201609">
      <w:pPr>
        <w:spacing w:after="0" w:line="240" w:lineRule="auto"/>
      </w:pPr>
      <w:r>
        <w:separator/>
      </w:r>
    </w:p>
  </w:endnote>
  <w:endnote w:type="continuationSeparator" w:id="0">
    <w:p w14:paraId="256BA8E2" w14:textId="77777777" w:rsidR="00990802" w:rsidRDefault="00990802" w:rsidP="0020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774375"/>
      <w:docPartObj>
        <w:docPartGallery w:val="Page Numbers (Bottom of Page)"/>
        <w:docPartUnique/>
      </w:docPartObj>
    </w:sdtPr>
    <w:sdtEndPr/>
    <w:sdtContent>
      <w:p w14:paraId="2D05BEB6" w14:textId="416150A4" w:rsidR="00EE1E00" w:rsidRDefault="00EE1E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479636D" w14:textId="77777777" w:rsidR="00B5354B" w:rsidRDefault="00B535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3745" w14:textId="77777777" w:rsidR="00990802" w:rsidRDefault="00990802" w:rsidP="00201609">
      <w:pPr>
        <w:spacing w:after="0" w:line="240" w:lineRule="auto"/>
      </w:pPr>
      <w:r>
        <w:separator/>
      </w:r>
    </w:p>
  </w:footnote>
  <w:footnote w:type="continuationSeparator" w:id="0">
    <w:p w14:paraId="039F5A64" w14:textId="77777777" w:rsidR="00990802" w:rsidRDefault="00990802" w:rsidP="00201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289D" w14:textId="4FC10338" w:rsidR="003B6B25" w:rsidRDefault="00990802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Título"/>
        <w:tag w:val=""/>
        <w:id w:val="-932208079"/>
        <w:placeholder>
          <w:docPart w:val="C673189F4E1E47EC9590BF53BF1C63A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354F6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Informe de Evaluación y Seguimiento al Plan Operativo CCDF 202</w:t>
        </w:r>
        <w:r w:rsidR="00F93EAA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2</w:t>
        </w:r>
        <w:r w:rsidR="00F354F6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 xml:space="preserve"> </w:t>
        </w:r>
        <w:r w:rsidR="00361017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(</w:t>
        </w:r>
        <w:r w:rsidR="009C7B3D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2do</w:t>
        </w:r>
        <w:r w:rsidR="00F354F6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 xml:space="preserve"> </w:t>
        </w:r>
        <w:r w:rsidR="00F93EAA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Tri</w:t>
        </w:r>
        <w:r w:rsidR="00F354F6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mestre</w:t>
        </w:r>
        <w:r w:rsidR="00361017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)</w:t>
        </w:r>
      </w:sdtContent>
    </w:sdt>
  </w:p>
  <w:p w14:paraId="2F9DB875" w14:textId="77777777" w:rsidR="003B6B25" w:rsidRDefault="003B6B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34DA"/>
    <w:multiLevelType w:val="hybridMultilevel"/>
    <w:tmpl w:val="A05EBCBA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35B61"/>
    <w:multiLevelType w:val="hybridMultilevel"/>
    <w:tmpl w:val="B63A7EA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A3F3C"/>
    <w:multiLevelType w:val="hybridMultilevel"/>
    <w:tmpl w:val="36FE14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C28B8"/>
    <w:multiLevelType w:val="hybridMultilevel"/>
    <w:tmpl w:val="1F8A48A8"/>
    <w:lvl w:ilvl="0" w:tplc="1C0A0017">
      <w:start w:val="1"/>
      <w:numFmt w:val="lowerLetter"/>
      <w:lvlText w:val="%1)"/>
      <w:lvlJc w:val="left"/>
      <w:pPr>
        <w:ind w:left="1080" w:hanging="360"/>
      </w:p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6F4657"/>
    <w:multiLevelType w:val="hybridMultilevel"/>
    <w:tmpl w:val="D292CDE2"/>
    <w:lvl w:ilvl="0" w:tplc="1C0A001B">
      <w:start w:val="1"/>
      <w:numFmt w:val="lowerRoman"/>
      <w:lvlText w:val="%1."/>
      <w:lvlJc w:val="righ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86108"/>
    <w:multiLevelType w:val="hybridMultilevel"/>
    <w:tmpl w:val="845EA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579681">
    <w:abstractNumId w:val="4"/>
  </w:num>
  <w:num w:numId="2" w16cid:durableId="599217796">
    <w:abstractNumId w:val="5"/>
  </w:num>
  <w:num w:numId="3" w16cid:durableId="1997764608">
    <w:abstractNumId w:val="2"/>
  </w:num>
  <w:num w:numId="4" w16cid:durableId="1996907529">
    <w:abstractNumId w:val="1"/>
  </w:num>
  <w:num w:numId="5" w16cid:durableId="494609400">
    <w:abstractNumId w:val="3"/>
  </w:num>
  <w:num w:numId="6" w16cid:durableId="159312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FA"/>
    <w:rsid w:val="00000524"/>
    <w:rsid w:val="00012ACA"/>
    <w:rsid w:val="000169BD"/>
    <w:rsid w:val="00025331"/>
    <w:rsid w:val="00037132"/>
    <w:rsid w:val="00060366"/>
    <w:rsid w:val="00082C9F"/>
    <w:rsid w:val="000834C6"/>
    <w:rsid w:val="0008477E"/>
    <w:rsid w:val="0009164E"/>
    <w:rsid w:val="000A539E"/>
    <w:rsid w:val="000A6227"/>
    <w:rsid w:val="000B42D3"/>
    <w:rsid w:val="000D2EFF"/>
    <w:rsid w:val="000D7E61"/>
    <w:rsid w:val="000F464F"/>
    <w:rsid w:val="001017BD"/>
    <w:rsid w:val="00104E5D"/>
    <w:rsid w:val="00106D4D"/>
    <w:rsid w:val="0010790C"/>
    <w:rsid w:val="00110E00"/>
    <w:rsid w:val="001138AB"/>
    <w:rsid w:val="00122379"/>
    <w:rsid w:val="00132F77"/>
    <w:rsid w:val="0013407E"/>
    <w:rsid w:val="00142645"/>
    <w:rsid w:val="00155562"/>
    <w:rsid w:val="00157995"/>
    <w:rsid w:val="001648CD"/>
    <w:rsid w:val="001659A2"/>
    <w:rsid w:val="001665B6"/>
    <w:rsid w:val="001877E4"/>
    <w:rsid w:val="00193321"/>
    <w:rsid w:val="001A676A"/>
    <w:rsid w:val="001C10E5"/>
    <w:rsid w:val="001C5D36"/>
    <w:rsid w:val="001C70B5"/>
    <w:rsid w:val="001D633D"/>
    <w:rsid w:val="001E5A46"/>
    <w:rsid w:val="00201609"/>
    <w:rsid w:val="002049C0"/>
    <w:rsid w:val="00214931"/>
    <w:rsid w:val="00217B91"/>
    <w:rsid w:val="00232BF7"/>
    <w:rsid w:val="00237453"/>
    <w:rsid w:val="002550FB"/>
    <w:rsid w:val="0027348C"/>
    <w:rsid w:val="002770B0"/>
    <w:rsid w:val="002A56D6"/>
    <w:rsid w:val="002B2CD0"/>
    <w:rsid w:val="002B48EC"/>
    <w:rsid w:val="002B618B"/>
    <w:rsid w:val="002B7A79"/>
    <w:rsid w:val="002D206B"/>
    <w:rsid w:val="002D5D2E"/>
    <w:rsid w:val="002E09FC"/>
    <w:rsid w:val="00305AD2"/>
    <w:rsid w:val="00313021"/>
    <w:rsid w:val="00321300"/>
    <w:rsid w:val="00321F0F"/>
    <w:rsid w:val="00326BCB"/>
    <w:rsid w:val="00331525"/>
    <w:rsid w:val="003336B8"/>
    <w:rsid w:val="003443BB"/>
    <w:rsid w:val="003452A1"/>
    <w:rsid w:val="00345374"/>
    <w:rsid w:val="0035318E"/>
    <w:rsid w:val="00361017"/>
    <w:rsid w:val="00372954"/>
    <w:rsid w:val="003804E9"/>
    <w:rsid w:val="003831B6"/>
    <w:rsid w:val="003876F5"/>
    <w:rsid w:val="00393E5D"/>
    <w:rsid w:val="003B2AA4"/>
    <w:rsid w:val="003B6B25"/>
    <w:rsid w:val="003C4924"/>
    <w:rsid w:val="003D449A"/>
    <w:rsid w:val="003E1D70"/>
    <w:rsid w:val="003F59CB"/>
    <w:rsid w:val="004018E6"/>
    <w:rsid w:val="004164CD"/>
    <w:rsid w:val="00432E0A"/>
    <w:rsid w:val="004417B3"/>
    <w:rsid w:val="004439EF"/>
    <w:rsid w:val="004514A4"/>
    <w:rsid w:val="00476EE6"/>
    <w:rsid w:val="004B3264"/>
    <w:rsid w:val="004B66F4"/>
    <w:rsid w:val="004B6ECB"/>
    <w:rsid w:val="004C363F"/>
    <w:rsid w:val="004C3D53"/>
    <w:rsid w:val="004C6496"/>
    <w:rsid w:val="004D47D3"/>
    <w:rsid w:val="004E300A"/>
    <w:rsid w:val="004F3905"/>
    <w:rsid w:val="005002B5"/>
    <w:rsid w:val="00502030"/>
    <w:rsid w:val="00506328"/>
    <w:rsid w:val="00506C6D"/>
    <w:rsid w:val="00523076"/>
    <w:rsid w:val="005431FC"/>
    <w:rsid w:val="00584FB7"/>
    <w:rsid w:val="005A3A37"/>
    <w:rsid w:val="005B475F"/>
    <w:rsid w:val="005B798E"/>
    <w:rsid w:val="005C19C2"/>
    <w:rsid w:val="005E7F57"/>
    <w:rsid w:val="005F00DE"/>
    <w:rsid w:val="005F5238"/>
    <w:rsid w:val="00603A62"/>
    <w:rsid w:val="00616A58"/>
    <w:rsid w:val="006269DD"/>
    <w:rsid w:val="0064377C"/>
    <w:rsid w:val="00654E2E"/>
    <w:rsid w:val="006643C1"/>
    <w:rsid w:val="0067489D"/>
    <w:rsid w:val="006861ED"/>
    <w:rsid w:val="006922DB"/>
    <w:rsid w:val="006A5E9F"/>
    <w:rsid w:val="006B3065"/>
    <w:rsid w:val="006C650E"/>
    <w:rsid w:val="006D53F1"/>
    <w:rsid w:val="006E21D1"/>
    <w:rsid w:val="006E40F3"/>
    <w:rsid w:val="006F3FAD"/>
    <w:rsid w:val="006F4DE7"/>
    <w:rsid w:val="00715481"/>
    <w:rsid w:val="007156F9"/>
    <w:rsid w:val="00716A1D"/>
    <w:rsid w:val="00726DFB"/>
    <w:rsid w:val="007274AE"/>
    <w:rsid w:val="007327AB"/>
    <w:rsid w:val="0073615D"/>
    <w:rsid w:val="00753144"/>
    <w:rsid w:val="00760415"/>
    <w:rsid w:val="00760EE4"/>
    <w:rsid w:val="00760F67"/>
    <w:rsid w:val="007771A8"/>
    <w:rsid w:val="007778AC"/>
    <w:rsid w:val="00782D1F"/>
    <w:rsid w:val="00785D16"/>
    <w:rsid w:val="0078749F"/>
    <w:rsid w:val="007B021A"/>
    <w:rsid w:val="007B30C7"/>
    <w:rsid w:val="007B7A4B"/>
    <w:rsid w:val="007E555B"/>
    <w:rsid w:val="007F12E0"/>
    <w:rsid w:val="007F4255"/>
    <w:rsid w:val="007F71DE"/>
    <w:rsid w:val="0080357F"/>
    <w:rsid w:val="00807227"/>
    <w:rsid w:val="00814770"/>
    <w:rsid w:val="00814A4E"/>
    <w:rsid w:val="008308F1"/>
    <w:rsid w:val="00831F80"/>
    <w:rsid w:val="008472C3"/>
    <w:rsid w:val="00847945"/>
    <w:rsid w:val="008541DA"/>
    <w:rsid w:val="00854A6A"/>
    <w:rsid w:val="00856804"/>
    <w:rsid w:val="00871E86"/>
    <w:rsid w:val="00880336"/>
    <w:rsid w:val="008818DE"/>
    <w:rsid w:val="0088649E"/>
    <w:rsid w:val="00886735"/>
    <w:rsid w:val="0089215C"/>
    <w:rsid w:val="008B2EEA"/>
    <w:rsid w:val="008E03E6"/>
    <w:rsid w:val="008E63D8"/>
    <w:rsid w:val="00902EC1"/>
    <w:rsid w:val="00971030"/>
    <w:rsid w:val="00974408"/>
    <w:rsid w:val="00990802"/>
    <w:rsid w:val="00993398"/>
    <w:rsid w:val="00996568"/>
    <w:rsid w:val="009A2540"/>
    <w:rsid w:val="009A46DE"/>
    <w:rsid w:val="009B66E2"/>
    <w:rsid w:val="009B7518"/>
    <w:rsid w:val="009C7B3D"/>
    <w:rsid w:val="009D2C19"/>
    <w:rsid w:val="009D4864"/>
    <w:rsid w:val="009E1639"/>
    <w:rsid w:val="009E2387"/>
    <w:rsid w:val="009E31B9"/>
    <w:rsid w:val="009E79B3"/>
    <w:rsid w:val="009E7DEC"/>
    <w:rsid w:val="00A02EAA"/>
    <w:rsid w:val="00A1122B"/>
    <w:rsid w:val="00A30580"/>
    <w:rsid w:val="00A4605F"/>
    <w:rsid w:val="00A46708"/>
    <w:rsid w:val="00A53972"/>
    <w:rsid w:val="00A64547"/>
    <w:rsid w:val="00A718D7"/>
    <w:rsid w:val="00A74BFB"/>
    <w:rsid w:val="00A84F87"/>
    <w:rsid w:val="00A90744"/>
    <w:rsid w:val="00A90D8E"/>
    <w:rsid w:val="00AA10C0"/>
    <w:rsid w:val="00AA1BFA"/>
    <w:rsid w:val="00AB7D14"/>
    <w:rsid w:val="00AC3466"/>
    <w:rsid w:val="00AC6199"/>
    <w:rsid w:val="00AD1455"/>
    <w:rsid w:val="00AD1A0B"/>
    <w:rsid w:val="00AD6663"/>
    <w:rsid w:val="00AE755C"/>
    <w:rsid w:val="00B07697"/>
    <w:rsid w:val="00B100D1"/>
    <w:rsid w:val="00B1795F"/>
    <w:rsid w:val="00B25D3C"/>
    <w:rsid w:val="00B43085"/>
    <w:rsid w:val="00B4375F"/>
    <w:rsid w:val="00B5354B"/>
    <w:rsid w:val="00B54922"/>
    <w:rsid w:val="00B7788D"/>
    <w:rsid w:val="00B8158E"/>
    <w:rsid w:val="00B87500"/>
    <w:rsid w:val="00B93E1F"/>
    <w:rsid w:val="00B96EE2"/>
    <w:rsid w:val="00BA34C8"/>
    <w:rsid w:val="00BA4F81"/>
    <w:rsid w:val="00BA5DC5"/>
    <w:rsid w:val="00BA7BE9"/>
    <w:rsid w:val="00BC4F5C"/>
    <w:rsid w:val="00BD2CB5"/>
    <w:rsid w:val="00BE0A72"/>
    <w:rsid w:val="00BE5745"/>
    <w:rsid w:val="00C05241"/>
    <w:rsid w:val="00C05C14"/>
    <w:rsid w:val="00C13FFC"/>
    <w:rsid w:val="00C169EF"/>
    <w:rsid w:val="00C300E4"/>
    <w:rsid w:val="00C323A3"/>
    <w:rsid w:val="00C32AE9"/>
    <w:rsid w:val="00C335EB"/>
    <w:rsid w:val="00C33C5B"/>
    <w:rsid w:val="00C35A61"/>
    <w:rsid w:val="00C40B10"/>
    <w:rsid w:val="00C517F3"/>
    <w:rsid w:val="00C53486"/>
    <w:rsid w:val="00C55D44"/>
    <w:rsid w:val="00C61F0D"/>
    <w:rsid w:val="00C744D5"/>
    <w:rsid w:val="00C86E39"/>
    <w:rsid w:val="00C870FD"/>
    <w:rsid w:val="00C878F8"/>
    <w:rsid w:val="00C96859"/>
    <w:rsid w:val="00CA4BA6"/>
    <w:rsid w:val="00CB3957"/>
    <w:rsid w:val="00CE508A"/>
    <w:rsid w:val="00CE69DB"/>
    <w:rsid w:val="00D01A19"/>
    <w:rsid w:val="00D01B89"/>
    <w:rsid w:val="00D11258"/>
    <w:rsid w:val="00D17C2D"/>
    <w:rsid w:val="00D20E90"/>
    <w:rsid w:val="00D2319D"/>
    <w:rsid w:val="00D263AD"/>
    <w:rsid w:val="00D3072E"/>
    <w:rsid w:val="00D32181"/>
    <w:rsid w:val="00D55673"/>
    <w:rsid w:val="00D608D7"/>
    <w:rsid w:val="00D6268D"/>
    <w:rsid w:val="00D734AD"/>
    <w:rsid w:val="00D833A4"/>
    <w:rsid w:val="00D8736D"/>
    <w:rsid w:val="00D95B35"/>
    <w:rsid w:val="00DC0628"/>
    <w:rsid w:val="00DE03C7"/>
    <w:rsid w:val="00DE5873"/>
    <w:rsid w:val="00E03CFC"/>
    <w:rsid w:val="00E04178"/>
    <w:rsid w:val="00E268D6"/>
    <w:rsid w:val="00E35EF8"/>
    <w:rsid w:val="00E50265"/>
    <w:rsid w:val="00E523F3"/>
    <w:rsid w:val="00E57820"/>
    <w:rsid w:val="00E76D19"/>
    <w:rsid w:val="00E81A88"/>
    <w:rsid w:val="00E82703"/>
    <w:rsid w:val="00EA005E"/>
    <w:rsid w:val="00EA21E7"/>
    <w:rsid w:val="00EB5138"/>
    <w:rsid w:val="00EB5F9D"/>
    <w:rsid w:val="00EE1E00"/>
    <w:rsid w:val="00EE61B2"/>
    <w:rsid w:val="00EF46EC"/>
    <w:rsid w:val="00EF6A23"/>
    <w:rsid w:val="00F13150"/>
    <w:rsid w:val="00F136E0"/>
    <w:rsid w:val="00F13953"/>
    <w:rsid w:val="00F168BC"/>
    <w:rsid w:val="00F27144"/>
    <w:rsid w:val="00F30E7F"/>
    <w:rsid w:val="00F354F6"/>
    <w:rsid w:val="00F468CC"/>
    <w:rsid w:val="00F478B6"/>
    <w:rsid w:val="00F5288D"/>
    <w:rsid w:val="00F56D7A"/>
    <w:rsid w:val="00F64579"/>
    <w:rsid w:val="00F724BE"/>
    <w:rsid w:val="00F72620"/>
    <w:rsid w:val="00F81269"/>
    <w:rsid w:val="00F855E3"/>
    <w:rsid w:val="00F9228E"/>
    <w:rsid w:val="00F93EAA"/>
    <w:rsid w:val="00F973B7"/>
    <w:rsid w:val="00FA0CD6"/>
    <w:rsid w:val="00FA6981"/>
    <w:rsid w:val="00FB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DB631"/>
  <w15:chartTrackingRefBased/>
  <w15:docId w15:val="{0BE4B6F1-FFEC-4A2B-883F-3BD507B2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1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1BFA"/>
  </w:style>
  <w:style w:type="paragraph" w:styleId="Piedepgina">
    <w:name w:val="footer"/>
    <w:basedOn w:val="Normal"/>
    <w:link w:val="PiedepginaCar"/>
    <w:uiPriority w:val="99"/>
    <w:unhideWhenUsed/>
    <w:rsid w:val="002016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609"/>
  </w:style>
  <w:style w:type="paragraph" w:styleId="Prrafodelista">
    <w:name w:val="List Paragraph"/>
    <w:basedOn w:val="Normal"/>
    <w:uiPriority w:val="99"/>
    <w:qFormat/>
    <w:rsid w:val="0020160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1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CCDF\ejecucion%20del%20poa%20tabulaci&#243;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CCDF\ejecucion%20del%20poa%20tabulaci&#243;n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CCDF\ejecucion%20del%20poa%20tabulaci&#243;n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b="0"/>
              <a:t>Gráfico No.2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1'!$I$19</c:f>
              <c:strCache>
                <c:ptCount val="1"/>
                <c:pt idx="0">
                  <c:v>Meta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'Eje 1'!$J$18</c:f>
              <c:strCache>
                <c:ptCount val="1"/>
                <c:pt idx="0">
                  <c:v>T2</c:v>
                </c:pt>
              </c:strCache>
            </c:strRef>
          </c:cat>
          <c:val>
            <c:numRef>
              <c:f>'Eje 1'!$J$19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63-4123-82A7-7D2EC71422D1}"/>
            </c:ext>
          </c:extLst>
        </c:ser>
        <c:ser>
          <c:idx val="1"/>
          <c:order val="1"/>
          <c:tx>
            <c:strRef>
              <c:f>'Eje 1'!$I$20</c:f>
              <c:strCache>
                <c:ptCount val="1"/>
                <c:pt idx="0">
                  <c:v>Logrado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'Eje 1'!$J$18</c:f>
              <c:strCache>
                <c:ptCount val="1"/>
                <c:pt idx="0">
                  <c:v>T2</c:v>
                </c:pt>
              </c:strCache>
            </c:strRef>
          </c:cat>
          <c:val>
            <c:numRef>
              <c:f>'Eje 1'!$J$20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63-4123-82A7-7D2EC7142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0266352"/>
        <c:axId val="390262416"/>
      </c:barChart>
      <c:catAx>
        <c:axId val="390266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390262416"/>
        <c:crosses val="autoZero"/>
        <c:auto val="0"/>
        <c:lblAlgn val="ctr"/>
        <c:lblOffset val="100"/>
        <c:noMultiLvlLbl val="0"/>
      </c:catAx>
      <c:valAx>
        <c:axId val="39026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DO" b="1"/>
                  <a:t>Número de Inspecciones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DO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390266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Ejecución POA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669652142538789"/>
          <c:y val="0.21450210289978813"/>
          <c:w val="0.58738137218855468"/>
          <c:h val="0.7584002581760742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8085-439C-A9D6-52003CCDA45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8085-439C-A9D6-52003CCDA457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8085-439C-A9D6-52003CCDA4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'2do sem'!$K$3:$K$5</c:f>
              <c:strCache>
                <c:ptCount val="3"/>
                <c:pt idx="0">
                  <c:v>No iniciado</c:v>
                </c:pt>
                <c:pt idx="1">
                  <c:v>En proceso</c:v>
                </c:pt>
                <c:pt idx="2">
                  <c:v>Logrado</c:v>
                </c:pt>
              </c:strCache>
            </c:strRef>
          </c:cat>
          <c:val>
            <c:numRef>
              <c:f>'2do sem'!$L$3:$L$5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85-439C-A9D6-52003CCDA45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Ejecución POA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669652142538789"/>
          <c:y val="0.21450210289978813"/>
          <c:w val="0.58738137218855468"/>
          <c:h val="0.7584002581760742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BC14-4367-90F6-C02D4A98281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BC14-4367-90F6-C02D4A98281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BC14-4367-90F6-C02D4A9828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'2do sem'!$F$40:$F$42</c:f>
              <c:strCache>
                <c:ptCount val="3"/>
                <c:pt idx="0">
                  <c:v>No iniciado</c:v>
                </c:pt>
                <c:pt idx="1">
                  <c:v>En proceso</c:v>
                </c:pt>
                <c:pt idx="2">
                  <c:v>Logrado</c:v>
                </c:pt>
              </c:strCache>
            </c:strRef>
          </c:cat>
          <c:val>
            <c:numRef>
              <c:f>'2do sem'!$G$40:$G$42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C14-4367-90F6-C02D4A98281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0.29083</cdr:x>
      <cdr:y>0.09088</cdr:y>
    </cdr:from>
    <cdr:to>
      <cdr:x>0.72333</cdr:x>
      <cdr:y>0.14365</cdr:y>
    </cdr:to>
    <cdr:sp macro="" textlink="">
      <cdr:nvSpPr>
        <cdr:cNvPr id="2" name="CuadroTexto 4">
          <a:extLst xmlns:a="http://schemas.openxmlformats.org/drawingml/2006/main">
            <a:ext uri="{FF2B5EF4-FFF2-40B4-BE49-F238E27FC236}">
              <a16:creationId xmlns:a16="http://schemas.microsoft.com/office/drawing/2014/main" id="{AEB19F22-BFFD-4C61-933F-A34F0952CF8F}"/>
            </a:ext>
          </a:extLst>
        </cdr:cNvPr>
        <cdr:cNvSpPr txBox="1"/>
      </cdr:nvSpPr>
      <cdr:spPr>
        <a:xfrm xmlns:a="http://schemas.openxmlformats.org/drawingml/2006/main">
          <a:off x="1108062" y="329813"/>
          <a:ext cx="1647825" cy="1915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DO" sz="1100"/>
            <a:t>1er</a:t>
          </a:r>
          <a:r>
            <a:rPr lang="es-DO" sz="1100" baseline="0"/>
            <a:t> Eje Estratégico</a:t>
          </a:r>
          <a:endParaRPr lang="es-DO" sz="1100"/>
        </a:p>
      </cdr:txBody>
    </cdr:sp>
  </cdr:relSizeAnchor>
  <cdr:relSizeAnchor xmlns:cdr="http://schemas.openxmlformats.org/drawingml/2006/chartDrawing">
    <cdr:from>
      <cdr:x>0.29833</cdr:x>
      <cdr:y>0.15311</cdr:y>
    </cdr:from>
    <cdr:to>
      <cdr:x>0.73083</cdr:x>
      <cdr:y>0.20588</cdr:y>
    </cdr:to>
    <cdr:sp macro="" textlink="">
      <cdr:nvSpPr>
        <cdr:cNvPr id="3" name="CuadroTexto 4">
          <a:extLst xmlns:a="http://schemas.openxmlformats.org/drawingml/2006/main">
            <a:ext uri="{FF2B5EF4-FFF2-40B4-BE49-F238E27FC236}">
              <a16:creationId xmlns:a16="http://schemas.microsoft.com/office/drawing/2014/main" id="{58E51956-0764-EA8C-5B58-A49025C943FC}"/>
            </a:ext>
          </a:extLst>
        </cdr:cNvPr>
        <cdr:cNvSpPr txBox="1"/>
      </cdr:nvSpPr>
      <cdr:spPr>
        <a:xfrm xmlns:a="http://schemas.openxmlformats.org/drawingml/2006/main">
          <a:off x="1136650" y="555625"/>
          <a:ext cx="1647825" cy="1915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DO" sz="1100"/>
            <a:t>T2-2022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0.27853</cdr:x>
      <cdr:y>0.11245</cdr:y>
    </cdr:from>
    <cdr:to>
      <cdr:x>0.74483</cdr:x>
      <cdr:y>0.17269</cdr:y>
    </cdr:to>
    <cdr:sp macro="" textlink="">
      <cdr:nvSpPr>
        <cdr:cNvPr id="2" name="CuadroTexto 2">
          <a:extLst xmlns:a="http://schemas.openxmlformats.org/drawingml/2006/main">
            <a:ext uri="{FF2B5EF4-FFF2-40B4-BE49-F238E27FC236}">
              <a16:creationId xmlns:a16="http://schemas.microsoft.com/office/drawing/2014/main" id="{DA3F6663-77C8-4DCB-938C-D864340FBB19}"/>
            </a:ext>
          </a:extLst>
        </cdr:cNvPr>
        <cdr:cNvSpPr txBox="1"/>
      </cdr:nvSpPr>
      <cdr:spPr>
        <a:xfrm xmlns:a="http://schemas.openxmlformats.org/drawingml/2006/main">
          <a:off x="984250" y="355600"/>
          <a:ext cx="1647825" cy="1905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DO" sz="1100"/>
            <a:t>T2-2022</a:t>
          </a:r>
        </a:p>
      </cdr:txBody>
    </cdr:sp>
  </cdr:relSizeAnchor>
  <cdr:relSizeAnchor xmlns:cdr="http://schemas.openxmlformats.org/drawingml/2006/chartDrawing">
    <cdr:from>
      <cdr:x>0.27583</cdr:x>
      <cdr:y>0.15462</cdr:y>
    </cdr:from>
    <cdr:to>
      <cdr:x>0.74214</cdr:x>
      <cdr:y>0.21486</cdr:y>
    </cdr:to>
    <cdr:sp macro="" textlink="">
      <cdr:nvSpPr>
        <cdr:cNvPr id="3" name="CuadroTexto 4">
          <a:extLst xmlns:a="http://schemas.openxmlformats.org/drawingml/2006/main">
            <a:ext uri="{FF2B5EF4-FFF2-40B4-BE49-F238E27FC236}">
              <a16:creationId xmlns:a16="http://schemas.microsoft.com/office/drawing/2014/main" id="{992A6C70-6064-47F0-B85A-F9B589B33995}"/>
            </a:ext>
          </a:extLst>
        </cdr:cNvPr>
        <cdr:cNvSpPr txBox="1"/>
      </cdr:nvSpPr>
      <cdr:spPr>
        <a:xfrm xmlns:a="http://schemas.openxmlformats.org/drawingml/2006/main">
          <a:off x="974725" y="488950"/>
          <a:ext cx="1647825" cy="1905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DO" sz="1100" baseline="0"/>
            <a:t>2do Eje Estratégico</a:t>
          </a:r>
          <a:endParaRPr lang="es-DO" sz="1100"/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3189F4E1E47EC9590BF53BF1C6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69BB-F9C1-4AB9-88BB-46FA335C2C63}"/>
      </w:docPartPr>
      <w:docPartBody>
        <w:p w:rsidR="005A2247" w:rsidRDefault="005C7880" w:rsidP="005C7880">
          <w:pPr>
            <w:pStyle w:val="C673189F4E1E47EC9590BF53BF1C63AD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80"/>
    <w:rsid w:val="00067E7C"/>
    <w:rsid w:val="0007107C"/>
    <w:rsid w:val="003A1D30"/>
    <w:rsid w:val="005A2247"/>
    <w:rsid w:val="005C7880"/>
    <w:rsid w:val="006E447A"/>
    <w:rsid w:val="007014D5"/>
    <w:rsid w:val="00744C00"/>
    <w:rsid w:val="007533D9"/>
    <w:rsid w:val="008D70C8"/>
    <w:rsid w:val="00A248DF"/>
    <w:rsid w:val="00A249CF"/>
    <w:rsid w:val="00A54EDB"/>
    <w:rsid w:val="00BF19EF"/>
    <w:rsid w:val="00C658F1"/>
    <w:rsid w:val="00FB4197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673189F4E1E47EC9590BF53BF1C63AD">
    <w:name w:val="C673189F4E1E47EC9590BF53BF1C63AD"/>
    <w:rsid w:val="005C78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12</Pages>
  <Words>1930</Words>
  <Characters>10619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Evaluación y Seguimiento al Plan Operativo CCDF 2022, 1er Trimestre</vt:lpstr>
    </vt:vector>
  </TitlesOfParts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Evaluación y Seguimiento al Plan Operativo CCDF 2022 (2do Trimestre)</dc:title>
  <dc:subject/>
  <dc:creator>Pablo Duran</dc:creator>
  <cp:keywords/>
  <dc:description/>
  <cp:lastModifiedBy>Pablo Duran</cp:lastModifiedBy>
  <cp:revision>48</cp:revision>
  <cp:lastPrinted>2022-07-07T17:20:00Z</cp:lastPrinted>
  <dcterms:created xsi:type="dcterms:W3CDTF">2022-07-05T15:30:00Z</dcterms:created>
  <dcterms:modified xsi:type="dcterms:W3CDTF">2022-07-11T17:18:00Z</dcterms:modified>
</cp:coreProperties>
</file>